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Teilablehnung psychischer Dienstunfallfolgen</w:t>
      </w:r>
    </w:p>
    <w:p>
      <w:pPr>
        <w:jc w:val="left"/>
      </w:pPr>
      <w:r>
        <w:t>Die Teilablehnung verengt den Dienstunfall auf körperliche Erstschäden. Sie setzt sich nicht hinreichend mit dem Einsatzgeschehen, der unmittelbaren Belastungsreaktion, der späteren fachärztlichen Einordnung und dem Verlauf auseinander. Dass private Belastungen vorhanden waren, schließt die wesentliche Mitursächlichkeit des Einsatzes nicht ohne weiteres aus.</w:t>
      </w:r>
    </w:p>
    <w:p>
      <w:pPr>
        <w:jc w:val="left"/>
      </w:pPr>
      <w:r>
        <w:t>Beantragt wird die Anerkennung der psychischen Gesundheitsstörung als Dienstunfallfolge, hilfsweise die Einholung eines unabhängigen fachpsychiatrischen Gutachtens mit konkreter Fragestellung. Zusätzlich werden Heilverfahrenskosten, Fahrtkosten, Wiedereingliederungsaufwand und die besoldungsrechtlichen Folgen der begrenzten Dienstfähigkeit geprüft.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