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gegen Teilablehnung der Unfallfürsorge</w:t>
      </w:r>
    </w:p>
    <w:p>
      <w:pPr>
        <w:jc w:val="left"/>
      </w:pPr>
      <w:r>
        <w:t>Der Bescheid erkennt nur eine kurzfristige Belastungsreaktion an und lehnt weitere Heilbehandlungskosten ab. Der Widerspruch rügt eine zu enge Kausalitätsbetrachtung. Die Behörde hat den zeitlichen Verlauf, die unmittelbaren ärztlichen Erstbefunde und die dienstliche Nachbelastung nicht vollständig gewürdigt.</w:t>
      </w:r>
    </w:p>
    <w:p>
      <w:pPr>
        <w:jc w:val="left"/>
      </w:pPr>
      <w:r>
        <w:t>Die Mandantenseite beantragt ein unabhängiges fachärztliches Gutachten, Einsicht in die Einsatznachbereitung und eine erneute Prüfung der Wiedereingliederungsmaßnahmen.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