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Hauptschriftsatz Dienstunfall, Burnout und Wiedereingliederung</w:t>
      </w:r>
    </w:p>
    <w:p>
      <w:pPr>
        <w:pStyle w:val="Heading2"/>
      </w:pPr>
      <w:r>
        <w:rPr>
          <w:rFonts w:ascii="Times New Roman" w:hAnsi="Times New Roman"/>
        </w:rPr>
        <w:t>Antrag und Ziel</w:t>
      </w:r>
    </w:p>
    <w:p>
      <w:pPr>
        <w:jc w:val="left"/>
      </w:pPr>
      <w:r>
        <w:t>Der Mandant begehrt die Anerkennung weiterer gesundheitlicher Folgen als dienstunfallbezogen, die Übernahme notwendiger Behandlungskosten und eine realistische stufenweise Wiedereingliederung. Der Fall ist nicht dadurch erledigt, dass die Behörde eine kurzfristige Belastungsreaktion anerkannt hat. Streitig ist, ob die späteren psychischen und funktionalen Einschränkungen dienstlich zurechenbar sind oder als allgemeine Erkrankung behandelt werden dürfen.</w:t>
      </w:r>
    </w:p>
    <w:p>
      <w:pPr>
        <w:pStyle w:val="Heading2"/>
      </w:pPr>
      <w:r>
        <w:rPr>
          <w:rFonts w:ascii="Times New Roman" w:hAnsi="Times New Roman"/>
        </w:rPr>
        <w:t>Sachverhalt</w:t>
      </w:r>
    </w:p>
    <w:p>
      <w:pPr>
        <w:jc w:val="left"/>
      </w:pPr>
      <w:r>
        <w:t>Der Mandant war bei einem belastenden Hafeneinsatz eingesetzt, bei dem eine Gefahrensituation, unklare Führungsentscheidungen und anschließende öffentliche Kritik zusammenkamen. Direkt danach traten Schlafstörungen, Konzentrationsprobleme und Vermeidungsverhalten auf. Die Dienststelle wertete dies zunächst als vorübergehende Belastung. Später kam es zu längeren Ausfallzeiten. Eine strukturierte Nachsorge erfolgte nur bruchstückhaft.</w:t>
      </w:r>
    </w:p>
    <w:p>
      <w:pPr>
        <w:pStyle w:val="Heading2"/>
      </w:pPr>
      <w:r>
        <w:rPr>
          <w:rFonts w:ascii="Times New Roman" w:hAnsi="Times New Roman"/>
        </w:rPr>
        <w:t>Rechtliche Bewertung</w:t>
      </w:r>
    </w:p>
    <w:p>
      <w:pPr>
        <w:jc w:val="left"/>
      </w:pPr>
      <w:r>
        <w:t>Psychische Dienstunfallfolgen verlangen eine sorgfältige Kausalitätsprüfung. Die Behörde darf nicht pauschal sagen, Burnout sei immer allgemeiner Dienststress. Ebenso darf die Mandantenseite nicht jede spätere Belastung automatisch dem Einsatz zuordnen. Entscheidend sind zeitlicher Verlauf, Erstbefunde, Konsistenz der Symptome, dienstliche Nachbelastungen und fachärztliche Einschätzungen.</w:t>
      </w:r>
    </w:p>
    <w:p>
      <w:pPr>
        <w:pStyle w:val="Heading2"/>
      </w:pPr>
      <w:r>
        <w:rPr>
          <w:rFonts w:ascii="Times New Roman" w:hAnsi="Times New Roman"/>
        </w:rPr>
        <w:t>Wiedereingliederung</w:t>
      </w:r>
    </w:p>
    <w:p>
      <w:pPr>
        <w:jc w:val="left"/>
      </w:pPr>
      <w:r>
        <w:t>Die Wiedereingliederung ist kein Personalsteuerungsinstrument zur schnellen Rückkehr in den Schichtplan. Sie muss gesundheitlich tragfähig sein. Wenn der Plan Innendienst ohne Nachtschicht vorsieht, darf die Dienststelle nicht informell doch belastende Dienste anordnen. Jede Abweichung muss dokumentiert und medizinisch rückgekoppelt werden.</w:t>
      </w:r>
    </w:p>
    <w:p>
      <w:pPr>
        <w:pStyle w:val="Heading2"/>
      </w:pPr>
      <w:r>
        <w:rPr>
          <w:rFonts w:ascii="Times New Roman" w:hAnsi="Times New Roman"/>
        </w:rPr>
        <w:t>Datenschutz und Fürsorge</w:t>
      </w:r>
    </w:p>
    <w:p>
      <w:pPr>
        <w:jc w:val="left"/>
      </w:pPr>
      <w:r>
        <w:t>Gesundheitsdaten sind besonders sensibel. Personalstelle, Vorgesetzte und Kollegium benötigen nicht dieselben Informationen. Die Kanzlei achtet darauf, dass Diagnosen nicht unnötig verbreitet werden. Gleichzeitig darf Datenschutz nicht als Vorwand genutzt werden, um fehlende Fürsorgemaßnahmen unsichtbar zu machen.</w:t>
      </w:r>
    </w:p>
    <w:p>
      <w:pPr>
        <w:pStyle w:val="Heading2"/>
      </w:pPr>
      <w:r>
        <w:rPr>
          <w:rFonts w:ascii="Times New Roman" w:hAnsi="Times New Roman"/>
        </w:rPr>
        <w:t>Ergebnis</w:t>
      </w:r>
    </w:p>
    <w:p>
      <w:pPr>
        <w:jc w:val="left"/>
      </w:pPr>
      <w:r>
        <w:t>Die Behörde muss den Ursachenzusammenhang neu prüfen, die medizinische Begutachtung erweitern und die Wiedereingliederung verbindlich gestalten.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