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Ausschreibung Vorsitz Staatsschutzkammer mit Digitalbezug</w:t>
      </w:r>
    </w:p>
    <w:p>
      <w:pPr>
        <w:jc w:val="left"/>
      </w:pPr>
      <w:r>
        <w:t>Gesucht wird eine Richterin oder ein Richter mit herausgehobener strafrichterlicher Erfahrung, belastbarer Sitzungsleitung, Erfahrungen mit umfangreichen digitalen Beweismitteln, Fähigkeit zur Führung interdisziplinärer Teams und besonderer Eignung für Öffentlichkeitskommunikation in sensiblen Verfahren.</w:t>
      </w:r>
    </w:p>
    <w:p>
      <w:pPr>
        <w:pStyle w:val="Heading2"/>
      </w:pPr>
      <w:r>
        <w:rPr>
          <w:rFonts w:ascii="Times New Roman" w:hAnsi="Times New Roman"/>
        </w:rPr>
        <w:t>Anforderungsprofil</w:t>
      </w:r>
    </w:p>
    <w:p>
      <w:pPr>
        <w:pStyle w:val="ListBullet"/>
      </w:pPr>
      <w:r>
        <w:t>mindestens drei Jahre richterliche Tätigkeit nach zweitem Staatsexamen,</w:t>
      </w:r>
    </w:p>
    <w:p>
      <w:pPr>
        <w:pStyle w:val="ListBullet"/>
      </w:pPr>
      <w:r>
        <w:t>überdurchschnittliche dienstliche Beurteilung,</w:t>
      </w:r>
    </w:p>
    <w:p>
      <w:pPr>
        <w:pStyle w:val="ListBullet"/>
      </w:pPr>
      <w:r>
        <w:t>Erfahrung in Strafkammern oder vergleichbarer Spruchpraxis,</w:t>
      </w:r>
    </w:p>
    <w:p>
      <w:pPr>
        <w:pStyle w:val="ListBullet"/>
      </w:pPr>
      <w:r>
        <w:t>digitale Aktenkompetenz,</w:t>
      </w:r>
    </w:p>
    <w:p>
      <w:pPr>
        <w:pStyle w:val="ListBullet"/>
      </w:pPr>
      <w:r>
        <w:t>Fähigkeit zu strukturierter Verhandlungsführung,</w:t>
      </w:r>
    </w:p>
    <w:p>
      <w:pPr>
        <w:pStyle w:val="ListBullet"/>
      </w:pPr>
      <w:r>
        <w:t>Bereitschaft zur Mitwirkung an einem Pilotprojekt für Wortprotokolle.</w:t>
      </w:r>
    </w:p>
    <w:p>
      <w:pPr>
        <w:jc w:val="left"/>
      </w:pPr>
      <w:r>
        <w:t>Bewerbungsfrist: 18.03.2026, 12:00 Uhr.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