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Geschäftsverteilung, Belastungszahlen und richterliche Verwendung</w:t>
      </w:r>
    </w:p>
    <w:p>
      <w:pPr>
        <w:pStyle w:val="Heading2"/>
      </w:pPr>
      <w:r>
        <w:rPr>
          <w:rFonts w:ascii="Times New Roman" w:hAnsi="Times New Roman"/>
        </w:rPr>
        <w:t>Kammerverwendung 2023 bis 2026</w:t>
      </w:r>
    </w:p>
    <w:p>
      <w:pPr>
        <w:jc w:val="left"/>
      </w:pPr>
      <w:r>
        <w:t>Dr. Mondsee war seit Januar 2023 in der 8. Strafkammer und ab September 2024 zusätzlich mit Entlastungsaufgaben in der Staatsschutzkammer betraut. Der Geschäftsverteilungsplan weist sie nicht als Vorsitzende aus; in drei Verfahren übernahm sie aber faktisch die Terminsteuerung, weil der Vorsitzende länger erkrankt war. Die Gerichtsverwaltung bezeichnet dies als „organisatorische Mithilfe“, die Mandantin als kommissarische Führung.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Aktenzeichen / Vorgang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Streitpunkt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01/2023-08/2024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Beisitzerin 8. Strafkammer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KLs 17/23 u. 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Umfang der Spruchpraxis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09/2024-03/2025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Entlastung Staatsschutzkammer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StK 4/24, 3 StK 7/24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faktische Leitungsanteile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04/2025-12/2025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Abordnung Ministerium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Ref. II B 4 Digitalisierung Strafjustiz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Anerkennung als Führungserfahrung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01/2026-04/2026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Rückkehr LG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KLs 2/26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Aktualität der Beurteilung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Belastungszahlen</w:t>
      </w:r>
    </w:p>
    <w:p>
      <w:pPr>
        <w:jc w:val="left"/>
      </w:pPr>
      <w:r>
        <w:t>Die Mandantin hat eine eigene Liste eingereicht. Danach lagen ihre Erledigungszahlen oberhalb des Kammerdurchschnitts. Das Ministerium hält entgegen, die Zahlen seien ohne Schwierigkeitsgrad nicht aussagekräftig. Richtig ist: Quantität allein trägt die Auswahl nicht. Aber wenn die Beurteilung Belastbarkeit und Arbeitsorganisation herabsetzt, muss die tatsächliche Belastung plausibel in die Begründung einfließen.</w:t>
      </w:r>
    </w:p>
    <w:p>
      <w:pPr>
        <w:pStyle w:val="Heading2"/>
      </w:pPr>
      <w:r>
        <w:rPr>
          <w:rFonts w:ascii="Times New Roman" w:hAnsi="Times New Roman"/>
        </w:rPr>
        <w:t>Relevanz für den Eilantrag</w:t>
      </w:r>
    </w:p>
    <w:p>
      <w:pPr>
        <w:jc w:val="left"/>
      </w:pPr>
      <w:r>
        <w:t>Der Geschäftsverteilungsplan ist nicht nur Hintergrund. Er zeigt, ob der Dienstherr die tatsächliche Verwendung gesehen hat, ob Beurteilungsbeiträge fehlten und ob ein angebliches Führungsdefizit tragfähig ist. Für den Antrag nach § 123 VwGO wird daraus kein Anspruch auf Ernennung, aber ein Anspruch auf fehlerfreie Neubescheidung und Sicherung des Bewerbungsverfahrens.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