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Stellungnahme Präsidialrat - Auszug und Einordnung</w:t>
      </w:r>
    </w:p>
    <w:p>
      <w:pPr>
        <w:pStyle w:val="Heading2"/>
      </w:pPr>
      <w:r>
        <w:rPr>
          <w:rFonts w:ascii="Times New Roman" w:hAnsi="Times New Roman"/>
        </w:rPr>
        <w:t>Verfahrensstand</w:t>
      </w:r>
    </w:p>
    <w:p>
      <w:pPr>
        <w:jc w:val="left"/>
      </w:pPr>
      <w:r>
        <w:t>Der Präsidialrat erhielt nach Aktenlage am 22.04.2026 eine Mappe mit Ausschreibung, Bewerbung, Anlassbeurteilung und Auswahlvermerk. Nicht enthalten waren der vollständige Beurteilungsbeitrag des Vorsitzenden, die Belastungszahlen der Kammer und der Vermerk über das Gespräch vom 06.05.2026, weil dieses zeitlich später stattfand. Unklar ist, ob die spätere Gegenvorstellung der Mandantin dem Präsidialrat nachgereicht wurde.</w:t>
      </w:r>
    </w:p>
    <w:p>
      <w:pPr>
        <w:pStyle w:val="Heading2"/>
      </w:pPr>
      <w:r>
        <w:rPr>
          <w:rFonts w:ascii="Times New Roman" w:hAnsi="Times New Roman"/>
        </w:rPr>
        <w:t>Inhalt der Stellungnahme</w:t>
      </w:r>
    </w:p>
    <w:p>
      <w:pPr>
        <w:jc w:val="left"/>
      </w:pPr>
      <w:r>
        <w:t>Die Stellungnahme befürwortet den Konkurrenten mit knapper Mehrheit. Als Gründe werden „ruhige Außenwirkung“, „langjährige Tätigkeit am Landgericht“ und „breitere Erfahrung mit Medienöffentlichkeit“ genannt. Zur Mandantin heißt es, ihre ministerielle Abordnung sei fachlich wertvoll, aber die Rückkehr in die Strafkammer liege erst kurze Zeit zurück. Zwei Mitglieder gaben ein Sondervotum ab und hielten die Auswahlbegründung für zu dünn.</w:t>
      </w:r>
    </w:p>
    <w:p>
      <w:pPr>
        <w:pStyle w:val="Heading2"/>
      </w:pPr>
      <w:r>
        <w:rPr>
          <w:rFonts w:ascii="Times New Roman" w:hAnsi="Times New Roman"/>
        </w:rPr>
        <w:t>Rechtliches Risiko</w:t>
      </w:r>
    </w:p>
    <w:p>
      <w:pPr>
        <w:jc w:val="left"/>
      </w:pPr>
      <w:r>
        <w:t>Die Beteiligung eines Präsidialrats schützt die Auswahlentscheidung nicht gegen Fehler im Tatsachenfundament. Wenn dem Gremium wesentliche Unterlagen fehlen, kann die Beteiligung formal stattgefunden haben und trotzdem inhaltlich defizitär sein. Das ist kein Automatismus, aber ein starkes Argument für Akteneinsicht und Neubescheidung.</w:t>
      </w:r>
    </w:p>
    <w:p>
      <w:pPr>
        <w:pStyle w:val="Heading2"/>
      </w:pPr>
      <w:r>
        <w:rPr>
          <w:rFonts w:ascii="Times New Roman" w:hAnsi="Times New Roman"/>
        </w:rPr>
        <w:t>Praktischer Prüfpunkt</w:t>
      </w:r>
    </w:p>
    <w:p>
      <w:pPr>
        <w:jc w:val="left"/>
      </w:pPr>
      <w:r>
        <w:t>Im Eilverfahren sollte nicht behauptet werden, der Präsidialrat habe „falsch entschieden“. Besser ist: Das Beteiligungsverfahren war nicht vollständig informiert; deshalb konnte die Stellungnahme die Auswahlentscheidung nicht tragen. Das vermeidet eine unnötige Konfrontation mit dem Gremium und bleibt auf dem Verfahrensfehler.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