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Widerspruchsbegründung Besoldung - Arbeitsfassung</w:t>
      </w:r>
    </w:p>
    <w:p>
      <w:pPr>
        <w:pStyle w:val="Heading2"/>
      </w:pPr>
      <w:r>
        <w:rPr>
          <w:rFonts w:ascii="Times New Roman" w:hAnsi="Times New Roman"/>
        </w:rPr>
        <w:t>Antrag</w:t>
      </w:r>
    </w:p>
    <w:p>
      <w:pPr>
        <w:jc w:val="left"/>
      </w:pPr>
      <w:r>
        <w:t>Dr. Ottilie Mondsee beantragt die Überprüfung und Neufestsetzung ihrer Besoldung ab dem 01.01.2025, hilfsweise die Feststellung, dass ihre amtsangemessene Alimentation und die Stufenzuordnung unter Berücksichtigung der tatsächlichen Verwendung, der Familienverhältnisse und der landesrechtlichen Übergangsregelungen nicht hinreichend geprüft worden sind.</w:t>
      </w:r>
    </w:p>
    <w:p>
      <w:pPr>
        <w:pStyle w:val="Heading2"/>
      </w:pPr>
      <w:r>
        <w:rPr>
          <w:rFonts w:ascii="Times New Roman" w:hAnsi="Times New Roman"/>
        </w:rPr>
        <w:t>Sachverhalt</w:t>
      </w:r>
    </w:p>
    <w:p>
      <w:pPr>
        <w:jc w:val="left"/>
      </w:pPr>
      <w:r>
        <w:t>Die Mandantin wurde als Richterin auf Probe ernannt und zunächst nach R 1 besoldet. Nach Abordnung in das Ministerium übernahm sie Aufgaben, die nach ihrer Darstellung mit Leitung, Konzeption und ressortübergreifender Koordination verbunden waren. Die Besoldungsstelle verweist darauf, dass sich die Besoldung nach Statusamt und nicht nach gefühlter Wertigkeit der Tätigkeit richte. Das ist als Ausgangspunkt zutreffend. Es beantwortet aber nicht die Fragen nach Erfahrungsstufe, Familienzuschlag, etwaigen Zulagen, zeitnaher Geltendmachung und amtsangemessener Alimentation.</w:t>
      </w:r>
    </w:p>
    <w:p>
      <w:pPr>
        <w:pStyle w:val="Heading2"/>
      </w:pPr>
      <w:r>
        <w:rPr>
          <w:rFonts w:ascii="Times New Roman" w:hAnsi="Times New Roman"/>
        </w:rPr>
        <w:t>Prüfprogramm</w:t>
      </w:r>
    </w:p>
    <w:p>
      <w:pPr>
        <w:pStyle w:val="ListNumber"/>
      </w:pPr>
      <w:r>
        <w:t>Welche Besoldungsordnung und welche landesrechtliche Fassung gelten im Streitzeitraum?</w:t>
      </w:r>
    </w:p>
    <w:p>
      <w:pPr>
        <w:pStyle w:val="ListNumber"/>
      </w:pPr>
      <w:r>
        <w:t>Wurde die Erfahrungsstufe zutreffend festgesetzt?</w:t>
      </w:r>
    </w:p>
    <w:p>
      <w:pPr>
        <w:pStyle w:val="ListNumber"/>
      </w:pPr>
      <w:r>
        <w:t>Sind Kinder, Familienstand und etwaige Konkurrenzen beim Familienzuschlag vollständig berücksichtigt?</w:t>
      </w:r>
    </w:p>
    <w:p>
      <w:pPr>
        <w:pStyle w:val="ListNumber"/>
      </w:pPr>
      <w:r>
        <w:t>Liegt eine rechtzeitig erhobene Geltendmachung für das jeweilige Haushaltsjahr vor?</w:t>
      </w:r>
    </w:p>
    <w:p>
      <w:pPr>
        <w:pStyle w:val="ListNumber"/>
      </w:pPr>
      <w:r>
        <w:t>Gibt es Musterverfahren oder Ruhendstellungsangebote des Landes?</w:t>
      </w:r>
    </w:p>
    <w:p>
      <w:pPr>
        <w:pStyle w:val="ListNumber"/>
      </w:pPr>
      <w:r>
        <w:t>Ist die R-Besoldung in der einschlägigen Stufe unter Berücksichtigung der verfassungsrechtlichen Leitlinien plausibel?</w:t>
      </w:r>
    </w:p>
    <w:p>
      <w:pPr>
        <w:pStyle w:val="Heading2"/>
      </w:pPr>
      <w:r>
        <w:rPr>
          <w:rFonts w:ascii="Times New Roman" w:hAnsi="Times New Roman"/>
        </w:rPr>
        <w:t>Tonalität</w:t>
      </w:r>
    </w:p>
    <w:p>
      <w:pPr>
        <w:jc w:val="left"/>
      </w:pPr>
      <w:r>
        <w:t>Die Begründung soll nicht den Eindruck erwecken, eine Richterin könne durch besonders anstrengende Aufgaben einfach eine höhere Besoldungsgruppe verlangen. Der Kern ist nüchterner: Die Behörde muss die richtige Rechtsgrundlage wählen, Stufe und Zuschläge korrekt anwenden und verfassungsrechtliche Einwände als zeitnah geltend gemacht behandeln.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