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Amtsärztliche Untersuchung, Fürsorge und BEM-Schnittstelle</w:t>
      </w:r>
    </w:p>
    <w:p>
      <w:pPr>
        <w:pStyle w:val="Heading2"/>
      </w:pPr>
      <w:r>
        <w:rPr>
          <w:rFonts w:ascii="Times New Roman" w:hAnsi="Times New Roman"/>
        </w:rPr>
        <w:t>Ausgangspunkt</w:t>
      </w:r>
    </w:p>
    <w:p>
      <w:pPr>
        <w:jc w:val="left"/>
      </w:pPr>
      <w:r>
        <w:t>Die Untersuchungsanordnung stützt sich auf mehrere Krankmeldungen nach langen Sitzungswochen und auf den Hinweis der Präsidentin, die Mandantin wirke „erschöpft und angespannt“. Dr. Mondsee sieht darin eine Reaktion auf ihre Bewerbung und ihre Besoldungsrüge. Die Gerichtsverwaltung beschreibt die Maßnahme als Fürsorge.</w:t>
      </w:r>
    </w:p>
    <w:p>
      <w:pPr>
        <w:pStyle w:val="Heading2"/>
      </w:pPr>
      <w:r>
        <w:rPr>
          <w:rFonts w:ascii="Times New Roman" w:hAnsi="Times New Roman"/>
        </w:rPr>
        <w:t>Aktenlage</w:t>
      </w:r>
    </w:p>
    <w:p>
      <w:pPr>
        <w:pStyle w:val="ListBullet"/>
      </w:pPr>
      <w:r>
        <w:t>Krankmeldungen: 6 Arbeitstage im Februar 2026, 4 Arbeitstage im März 2026.</w:t>
      </w:r>
    </w:p>
    <w:p>
      <w:pPr>
        <w:pStyle w:val="ListBullet"/>
      </w:pPr>
      <w:r>
        <w:t>Keine Langzeiterkrankung über sechs Wochen.</w:t>
      </w:r>
    </w:p>
    <w:p>
      <w:pPr>
        <w:pStyle w:val="ListBullet"/>
      </w:pPr>
      <w:r>
        <w:t>Keine dokumentierte Gefährdungsanzeige.</w:t>
      </w:r>
    </w:p>
    <w:p>
      <w:pPr>
        <w:pStyle w:val="ListBullet"/>
      </w:pPr>
      <w:r>
        <w:t>Keine vorherige Einladung zu einem strukturierten Fürsorgegespräch.</w:t>
      </w:r>
    </w:p>
    <w:p>
      <w:pPr>
        <w:pStyle w:val="ListBullet"/>
      </w:pPr>
      <w:r>
        <w:t>Kein BEM im technischen Sinn, weil die Schwellen nach Aktenlage nicht eindeutig erreicht sind.</w:t>
      </w:r>
    </w:p>
    <w:p>
      <w:pPr>
        <w:pStyle w:val="Heading2"/>
      </w:pPr>
      <w:r>
        <w:rPr>
          <w:rFonts w:ascii="Times New Roman" w:hAnsi="Times New Roman"/>
        </w:rPr>
        <w:t>Rechtliches Problem</w:t>
      </w:r>
    </w:p>
    <w:p>
      <w:pPr>
        <w:jc w:val="left"/>
      </w:pPr>
      <w:r>
        <w:t>Eine amtsärztliche Untersuchungsanordnung ist kein bloßer Kalendereintrag. Sie muss Anlass, Zweck, Umfang und Untersuchungsprogramm hinreichend erkennen lassen. Je stärker sie in Persönlichkeit und Gesundheit eingreift, desto genauer muss die Behörde erklären, welche Zweifel an Dienstfähigkeit oder Verwendungsfähigkeit bestehen. Allgemeine Arbeitsbelastung reicht nicht ohne weiteres.</w:t>
      </w:r>
    </w:p>
    <w:p>
      <w:pPr>
        <w:pStyle w:val="Heading2"/>
      </w:pPr>
      <w:r>
        <w:rPr>
          <w:rFonts w:ascii="Times New Roman" w:hAnsi="Times New Roman"/>
        </w:rPr>
        <w:t>Taktik</w:t>
      </w:r>
    </w:p>
    <w:p>
      <w:pPr>
        <w:jc w:val="left"/>
      </w:pPr>
      <w:r>
        <w:t>Die Mandantin sollte die Untersuchung nicht vorschnell verweigern, aber eine Konkretisierung verlangen. Parallel sollte sie darauf hinweisen, dass die Anordnung nicht als Druckmittel im Bewerbungsverfahren verwendet werden darf. Wenn ein ärztliches Attest vorliegt, sollte es nur so weit eingereicht werden, wie es zur Entkräftung des konkreten Zweifels erforderlich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