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Antrag auf Erlass einer einstweiligen Anordnung - Entwurf</w:t>
      </w:r>
    </w:p>
    <w:p>
      <w:pPr>
        <w:pStyle w:val="Heading2"/>
      </w:pPr>
      <w:r>
        <w:rPr>
          <w:rFonts w:ascii="Times New Roman" w:hAnsi="Times New Roman"/>
        </w:rPr>
        <w:t>Antragsskizze</w:t>
      </w:r>
    </w:p>
    <w:p>
      <w:pPr>
        <w:jc w:val="left"/>
      </w:pPr>
      <w:r>
        <w:t>Namens und in Vollmacht der Antragstellerin wird beantragt, dem Antragsgegner im Wege der einstweiligen Anordnung zu untersagen, die ausgeschriebene Vorsitzendenstelle der Staatsschutzkammer am Landgericht Falkenried mit dem Beigeladenen zu besetzen oder diesen zu ernennen, bevor über die Bewerbung der Antragstellerin unter Beachtung der Rechtsauffassung des Gerichts erneut entschieden worden ist.</w:t>
      </w:r>
    </w:p>
    <w:p>
      <w:pPr>
        <w:pStyle w:val="Heading2"/>
      </w:pPr>
      <w:r>
        <w:rPr>
          <w:rFonts w:ascii="Times New Roman" w:hAnsi="Times New Roman"/>
        </w:rPr>
        <w:t>Anordnungsgrund</w:t>
      </w:r>
    </w:p>
    <w:p>
      <w:pPr>
        <w:jc w:val="left"/>
      </w:pPr>
      <w:r>
        <w:t>Der Anordnungsgrund ergibt sich aus der drohenden irreversiblen Ämtervergabe. Nach Besetzung der Stelle wäre effektiver Primärrechtsschutz regelmäßig vereitelt. Die Antragstellerin hat erst am 30.04.2026 eine Konkurrentenmitteilung erhalten. Die Stillhaltefrist ist kurz; die Personalabteilung hat bereits einen Termin zur Aushändigung der Ernennungsurkunde avisiert.</w:t>
      </w:r>
    </w:p>
    <w:p>
      <w:pPr>
        <w:pStyle w:val="Heading2"/>
      </w:pPr>
      <w:r>
        <w:rPr>
          <w:rFonts w:ascii="Times New Roman" w:hAnsi="Times New Roman"/>
        </w:rPr>
        <w:t>Anordnungsanspruch</w:t>
      </w:r>
    </w:p>
    <w:p>
      <w:pPr>
        <w:jc w:val="left"/>
      </w:pPr>
      <w:r>
        <w:t>Die Auswahlentscheidung verletzt den Bewerbungsverfahrensanspruch der Antragstellerin aus Art. 33 Abs. 2 GG. Der Auswahlvermerk lässt nicht erkennen, dass der Dienstherr die dienstlichen Beurteilungen vollständig, vergleichbar und plausibel ausgewertet hat. Wesentliche Beurteilungsbeiträge fehlen oder werden nur selektiv verarbeitet. Das Anforderungsprofil wird im Nachhinein mit Kriterien der „ruhigen Außenwirkung“ und des „Raumhaltens“ angereichert, ohne dass diese Kriterien vorab transparent oder hinreichend dokumentiert waren.</w:t>
      </w:r>
    </w:p>
    <w:p>
      <w:pPr>
        <w:pStyle w:val="Heading2"/>
      </w:pPr>
      <w:r>
        <w:rPr>
          <w:rFonts w:ascii="Times New Roman" w:hAnsi="Times New Roman"/>
        </w:rPr>
        <w:t>Begründungsbausteine</w:t>
      </w:r>
    </w:p>
    <w:p>
      <w:pPr>
        <w:jc w:val="left"/>
      </w:pPr>
      <w:r>
        <w:t>Die Antragstellerin behauptet nicht, zwingend ausgewählt werden zu müssen. Sie verlangt eine fehlerfreie Entscheidung. Bereits die ernsthafte Möglichkeit einer Auswahl bei rechtsfehlerfreier Bewertung reicht im Konkurrentenstreit aus, wenn der Dienstherr die tatsächliche und rechtliche Grundlage nicht tragfähig dokumentiert hat.</w:t>
      </w:r>
    </w:p>
    <w:p>
      <w:pPr>
        <w:jc w:val="left"/>
      </w:pPr>
      <w:r>
        <w:t>Der Beigeladene mag erhebliche Erfahrung besitzen. Das enthebt den Dienstherrn aber nicht der Pflicht, die ministerielle Abordnung, die faktischen Leitungsanteile in der Kammer, die Belastungszahlen und die Sondervoten des Präsidialrats in eine nachvollziehbare Gesamtwürdigung einzustellen.</w:t>
      </w:r>
    </w:p>
    <w:p>
      <w:pPr>
        <w:pStyle w:val="Heading2"/>
      </w:pPr>
      <w:r>
        <w:rPr>
          <w:rFonts w:ascii="Times New Roman" w:hAnsi="Times New Roman"/>
        </w:rPr>
        <w:t>Glaubhaftmachung</w:t>
      </w:r>
    </w:p>
    <w:p>
      <w:pPr>
        <w:jc w:val="left"/>
      </w:pPr>
      <w:r>
        <w:t>Beizufügen sind Bewerbung, Ausschreibung, Auswahlvermerk, Konkurrentenmitteilung, Anlassbeurteilung, Beurteilungsbeitrag des Vorsitzenden, E-Mail zur Präsidialratsbeteiligung, eigene Belastungsübersicht und eidesstattliche Versicherung der Mandantin zum Gespräch vom 06.05.2026.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