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Vergleichsvorschlag und Prozessrisiko</w:t>
      </w:r>
    </w:p>
    <w:p>
      <w:pPr>
        <w:pStyle w:val="Heading2"/>
      </w:pPr>
      <w:r>
        <w:rPr>
          <w:rFonts w:ascii="Times New Roman" w:hAnsi="Times New Roman"/>
        </w:rPr>
        <w:t>Mögliche Verständigung</w:t>
      </w:r>
    </w:p>
    <w:p>
      <w:pPr>
        <w:pStyle w:val="ListNumber"/>
      </w:pPr>
      <w:r>
        <w:t>Besetzungsverfahren wird nicht abgeschlossen, bevor eine ergänzende Auswahlentscheidung vorliegt.</w:t>
      </w:r>
    </w:p>
    <w:p>
      <w:pPr>
        <w:pStyle w:val="ListNumber"/>
      </w:pPr>
      <w:r>
        <w:t>Die Anlassbeurteilung der Mandantin wird unter Einbeziehung des vollständigen Beurteilungsbeitrags und der ministeriellen Tätigkeit neu plausibilisiert.</w:t>
      </w:r>
    </w:p>
    <w:p>
      <w:pPr>
        <w:pStyle w:val="ListNumber"/>
      </w:pPr>
      <w:r>
        <w:t>Die Besoldungsrüge wird getrennt beschieden und nicht informell mit der Bewerbung vermischt.</w:t>
      </w:r>
    </w:p>
    <w:p>
      <w:pPr>
        <w:pStyle w:val="ListNumber"/>
      </w:pPr>
      <w:r>
        <w:t>Die Untersuchungsanordnung wird konkretisiert oder zurückgenommen.</w:t>
      </w:r>
    </w:p>
    <w:p>
      <w:pPr>
        <w:pStyle w:val="ListNumber"/>
      </w:pPr>
      <w:r>
        <w:t>Über die Nebentätigkeitsanzeige wird binnen vier Wochen entschieden.</w:t>
      </w:r>
    </w:p>
    <w:p>
      <w:pPr>
        <w:pStyle w:val="Heading2"/>
      </w:pPr>
      <w:r>
        <w:rPr>
          <w:rFonts w:ascii="Times New Roman" w:hAnsi="Times New Roman"/>
        </w:rPr>
        <w:t>Vorteile</w:t>
      </w:r>
    </w:p>
    <w:p>
      <w:pPr>
        <w:jc w:val="left"/>
      </w:pPr>
      <w:r>
        <w:t>Die Mandantin erhält keine sofortige Vorsitzendenstelle, aber sie gewinnt ein sauberes Verfahren und nimmt Druck aus der Personalakte. Das Gericht muss nicht tief in richterliche Personalpolitik einsteigen. Die Behörde kann ihr Gesicht wahren, wenn sie von „ergänzender Dokumentation“ spricht.</w:t>
      </w:r>
    </w:p>
    <w:p>
      <w:pPr>
        <w:pStyle w:val="Heading2"/>
      </w:pPr>
      <w:r>
        <w:rPr>
          <w:rFonts w:ascii="Times New Roman" w:hAnsi="Times New Roman"/>
        </w:rPr>
        <w:t>Risiken</w:t>
      </w:r>
    </w:p>
    <w:p>
      <w:pPr>
        <w:jc w:val="left"/>
      </w:pPr>
      <w:r>
        <w:t>Ein Vergleich kann als Karrierekompromiss wahrgenommen werden. Wenn die Behörde nur kosmetisch nachbessert, beginnt die nächste Runde. Außerdem muss sorgfältig geregelt werden, ob die Stillhaltepflicht während der Nachbewertung fortbesteht. Ohne klare Fristen verliert die Mandantin Zeit.</w:t>
      </w:r>
    </w:p>
    <w:p>
      <w:pPr>
        <w:pStyle w:val="Heading2"/>
      </w:pPr>
      <w:r>
        <w:rPr>
          <w:rFonts w:ascii="Times New Roman" w:hAnsi="Times New Roman"/>
        </w:rPr>
        <w:t>Kanzleibewertung</w:t>
      </w:r>
    </w:p>
    <w:p>
      <w:pPr>
        <w:jc w:val="left"/>
      </w:pPr>
      <w:r>
        <w:t>Prozessual ist der Angriff vertretbar bis gut, solange die Aktenlücken bestehen. Materiell ist die Auswahl nicht sicher zu kippen, weil der Konkurrent erkennbare Führungserfahrung hat. Die stärkste Linie bleibt deshalb: nicht „Mondsee muss gewinnen“, sondern „Mondsee darf nicht in einem unvollständig dokumentierten Verfahren verlieren“.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