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Nebentätigkeit: Vortrag und Kapitel zu KI in der Strafjustiz</w:t>
      </w:r>
    </w:p>
    <w:p>
      <w:pPr>
        <w:pStyle w:val="Heading2"/>
      </w:pPr>
      <w:r>
        <w:rPr>
          <w:rFonts w:ascii="Times New Roman" w:hAnsi="Times New Roman"/>
        </w:rPr>
        <w:t>Sachverhalt</w:t>
      </w:r>
    </w:p>
    <w:p>
      <w:pPr>
        <w:jc w:val="left"/>
      </w:pPr>
      <w:r>
        <w:t>Dr. Mondsee sollte für einen juristischen Fachverlag ein Kapitel zu KI-gestützter Aktenstrukturierung in Strafverfahren schreiben und auf einer Fortbildung einen Vortrag halten. Das Honorar beträgt 1.800 EUR. Die Gerichtsverwaltung sieht eine mögliche Beeinträchtigung dienstlicher Interessen, weil die Mandantin im Ministerium an Digitalisierungsfragen mitgewirkt hat.</w:t>
      </w:r>
    </w:p>
    <w:p>
      <w:pPr>
        <w:pStyle w:val="Heading2"/>
      </w:pPr>
      <w:r>
        <w:rPr>
          <w:rFonts w:ascii="Times New Roman" w:hAnsi="Times New Roman"/>
        </w:rPr>
        <w:t>Vertragslage</w:t>
      </w:r>
    </w:p>
    <w:p>
      <w:pPr>
        <w:jc w:val="left"/>
      </w:pPr>
      <w:r>
        <w:t>Der Vertragsentwurf enthält ein einfaches Nutzungsrecht, ein Pauschalhonorar, eine Frist zur Manuskriptabgabe und eine Klausel, wonach die Autorin keine vertraulichen dienstlichen Informationen verwendet. Die Mandantin hat nie Dienstgeheimnisse genutzt. Sie will ausschließlich allgemein bekannte technische und prozessuale Fragen darstellen.</w:t>
      </w:r>
    </w:p>
    <w:p>
      <w:pPr>
        <w:pStyle w:val="Heading2"/>
      </w:pPr>
      <w:r>
        <w:rPr>
          <w:rFonts w:ascii="Times New Roman" w:hAnsi="Times New Roman"/>
        </w:rPr>
        <w:t>Rechtliche Sortierung</w:t>
      </w:r>
    </w:p>
    <w:p>
      <w:pPr>
        <w:jc w:val="left"/>
      </w:pPr>
      <w:r>
        <w:t>Nebentätigkeitsrecht ist nicht bloß eine Stilfrage. Zu prüfen sind Anzeige- oder Genehmigungspflicht, zeitliche Beanspruchung, dienstliche Interessen, Amtsverschwiegenheit, mögliche Interessenkollision und Ablieferungspflichten. Bei Richterinnen kommt zusätzlich die Außenwirkung richterlicher Unabhängigkeit hinzu, ohne dass wissenschaftliche und publizistische Tätigkeit vorschnell erstickt werden darf.</w:t>
      </w:r>
    </w:p>
    <w:p>
      <w:pPr>
        <w:pStyle w:val="Heading2"/>
      </w:pPr>
      <w:r>
        <w:rPr>
          <w:rFonts w:ascii="Times New Roman" w:hAnsi="Times New Roman"/>
        </w:rPr>
        <w:t>Taktik</w:t>
      </w:r>
    </w:p>
    <w:p>
      <w:pPr>
        <w:jc w:val="left"/>
      </w:pPr>
      <w:r>
        <w:t>Das Schreiben an die Verwaltung sollte die Tätigkeit präzise begrenzen: kein Bezug zu laufenden Verfahren, keine internen Ministeriumsunterlagen, keine Produktwerbung, kein Auftreten als Vertreterin des Gerichts. So wird der Konflikt entschärft, ohne die Tätigkeit preiszugeben.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