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Personalakte: Lücken, Beweisangebot und Nachforderung</w:t>
      </w:r>
    </w:p>
    <w:p>
      <w:pPr>
        <w:pStyle w:val="Heading2"/>
      </w:pPr>
      <w:r>
        <w:rPr>
          <w:rFonts w:ascii="Times New Roman" w:hAnsi="Times New Roman"/>
        </w:rPr>
        <w:t>Fehlende Bestandteile</w:t>
      </w:r>
    </w:p>
    <w:p>
      <w:pPr>
        <w:pStyle w:val="ListBullet"/>
      </w:pPr>
      <w:r>
        <w:t>vollständiger Beurteilungsbeitrag des Vorsitzenden der 8. Strafkammer;</w:t>
      </w:r>
    </w:p>
    <w:p>
      <w:pPr>
        <w:pStyle w:val="ListBullet"/>
      </w:pPr>
      <w:r>
        <w:t>Vermerk über das Gespräch vom 06.05.2026;</w:t>
      </w:r>
    </w:p>
    <w:p>
      <w:pPr>
        <w:pStyle w:val="ListBullet"/>
      </w:pPr>
      <w:r>
        <w:t>Protokoll oder Bewertungsbogen des Auswahlgesprächs;</w:t>
      </w:r>
    </w:p>
    <w:p>
      <w:pPr>
        <w:pStyle w:val="ListBullet"/>
      </w:pPr>
      <w:r>
        <w:t>Unterlagen zur Präsidialratsbefassung einschließlich Sondervotum;</w:t>
      </w:r>
    </w:p>
    <w:p>
      <w:pPr>
        <w:pStyle w:val="ListBullet"/>
      </w:pPr>
      <w:r>
        <w:t>Vergleichsbeurteilung des Beigeladenen, soweit anonymisiert oder mit Beiladung zugänglich;</w:t>
      </w:r>
    </w:p>
    <w:p>
      <w:pPr>
        <w:pStyle w:val="ListBullet"/>
      </w:pPr>
      <w:r>
        <w:t>Entscheidung zur Nebentätigkeitsanzeige;</w:t>
      </w:r>
    </w:p>
    <w:p>
      <w:pPr>
        <w:pStyle w:val="ListBullet"/>
      </w:pPr>
      <w:r>
        <w:t>Aktenvermerk zur Untersuchungsanordnung.</w:t>
      </w:r>
    </w:p>
    <w:p>
      <w:pPr>
        <w:pStyle w:val="Heading2"/>
      </w:pPr>
      <w:r>
        <w:rPr>
          <w:rFonts w:ascii="Times New Roman" w:hAnsi="Times New Roman"/>
        </w:rPr>
        <w:t>Beweisangebot</w:t>
      </w:r>
    </w:p>
    <w:p>
      <w:pPr>
        <w:jc w:val="left"/>
      </w:pPr>
      <w:r>
        <w:t>Die Mandantin kann eidesstattlich versichern, welche Aufgaben sie während der Erkrankung des Vorsitzenden faktisch übernommen hat. Der Vorsitzende Hinterscheid kommt als Zeuge oder Auskunftsperson in Betracht. Für Belastungszahlen liegen Geschäftsstellenlisten und Terminladungen vor. Für das Ministerium existieren Projektmails, die allerdings dienstliche Interna enthalten und nur geordnet vorgelegt werden sollten.</w:t>
      </w:r>
    </w:p>
    <w:p>
      <w:pPr>
        <w:pStyle w:val="Heading2"/>
      </w:pPr>
      <w:r>
        <w:rPr>
          <w:rFonts w:ascii="Times New Roman" w:hAnsi="Times New Roman"/>
        </w:rPr>
        <w:t>Datenschutz und Personalakte</w:t>
      </w:r>
    </w:p>
    <w:p>
      <w:pPr>
        <w:jc w:val="left"/>
      </w:pPr>
      <w:r>
        <w:t>Die Akteneinsicht muss so geführt werden, dass Daten des Beigeladenen nur soweit verarbeitet werden, wie sie für den Rechtsschutz erforderlich sind. Das ist im Konkurrentenstreit unvermeidlich, aber kein Freibrief für unkontrolliertes Kopieren. Die Kanzlei führt deshalb eine getrennte Anlagenliste und schwärzt private Angaben, soweit sie nicht entscheidungserheblich sind.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