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Persönliche Notiz der Mandantin</w:t>
      </w:r>
    </w:p>
    <w:p>
      <w:pPr>
        <w:jc w:val="left"/>
      </w:pPr>
      <w:r>
        <w:t>Ich will nicht als schwierig gelten. Genau das ist aber offenbar der Punkt: Wer nachfragt, gilt als schwierig. Ich habe die Abordnung ins Ministerium nicht gesucht, um aus dem Gericht wegzukommen, sondern weil man mir gesagt hat, das sei ein Karriereschritt. Jetzt heißt es, ich sei zu lange aus dem Gericht gewesen. Die Vorsitzendenstelle wird mit Führung begründet, aber meine Führung im Projekt zählt nicht. Meine Belastungszahlen zählen nicht. Mein Beitrag zählt nur, soweit ein kritischer Satz darin steht.</w:t>
      </w:r>
    </w:p>
    <w:p>
      <w:pPr>
        <w:jc w:val="left"/>
      </w:pPr>
      <w:r>
        <w:t>Besonders belastend ist die Verbindung mit der amtsärztlichen Untersuchung. Ich war erschöpft, ja. Aber ich war nicht dienstunfähig. Ich hatte nach mehreren langen Sitzungen und einer Ministeriumsvorlage Kopfschmerzen und Schlafprobleme. Daraus wird nun ein Gesundheitszweifel. Gleichzeitig sagt man mir, ich solle professionell bleiben und keine Unruhe erzeugen.</w:t>
      </w:r>
    </w:p>
    <w:p>
      <w:pPr>
        <w:jc w:val="left"/>
      </w:pPr>
      <w:r>
        <w:t>Ich möchte nicht aus Trotz prozessieren. Ich möchte aber wissen, ob das Verfahren korrekt war. Wenn es korrekt war, kann ich verlieren. Wenn es nicht korrekt war, möchte ich nicht still verlieren.</w:t>
      </w:r>
    </w:p>
    <w:p>
      <w:pPr>
        <w:jc w:val="left"/>
      </w:pPr>
      <w:r>
        <w:t>Für die Besoldung geht es mir ähnlich. Mir ist klar, dass eine Abordnung nicht automatisch R 2 bedeutet. Aber ich will, dass die richtigen Stufen, Zuschläge und verfassungsrechtlichen Fragen geprüft werden. Ich möchte nicht jedes Jahr denselben pauschalen Text bekommen, dass alles rechtmäßig sei.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