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Kanzlei-Red-Team: Was kann gegen uns sprechen?</w:t>
      </w:r>
    </w:p>
    <w:p>
      <w:pPr>
        <w:pStyle w:val="Heading2"/>
      </w:pPr>
      <w:r>
        <w:rPr>
          <w:rFonts w:ascii="Times New Roman" w:hAnsi="Times New Roman"/>
        </w:rPr>
        <w:t>Konkurrentenstreit</w:t>
      </w:r>
    </w:p>
    <w:p>
      <w:pPr>
        <w:jc w:val="left"/>
      </w:pPr>
      <w:r>
        <w:t>Der Beigeladene hat tatsächlich mehr klassische Vorsitzendenerfahrung. Wenn das Gericht den Auswahlvermerk als knapp, aber noch tragfähig ansieht, verliert die Mandantin. Die ministerielle Abordnung ist ambivalent: Sie zeigt Führung und Konzeptionsstärke, kann aber die gerichtliche Leitungserfahrung nicht vollständig ersetzen.</w:t>
      </w:r>
    </w:p>
    <w:p>
      <w:pPr>
        <w:pStyle w:val="Heading2"/>
      </w:pPr>
      <w:r>
        <w:rPr>
          <w:rFonts w:ascii="Times New Roman" w:hAnsi="Times New Roman"/>
        </w:rPr>
        <w:t>Beurteilung</w:t>
      </w:r>
    </w:p>
    <w:p>
      <w:pPr>
        <w:jc w:val="left"/>
      </w:pPr>
      <w:r>
        <w:t>Beurteilungen sind nur eingeschränkt gerichtlich kontrollierbar. Wir dürfen nicht so schreiben, als überprüfe das Gericht die bessere Personalentscheidung. Es prüft Bewertungsfehler, Verfahrensfehler, Plausibilität und Gleichbehandlung.</w:t>
      </w:r>
    </w:p>
    <w:p>
      <w:pPr>
        <w:pStyle w:val="Heading2"/>
      </w:pPr>
      <w:r>
        <w:rPr>
          <w:rFonts w:ascii="Times New Roman" w:hAnsi="Times New Roman"/>
        </w:rPr>
        <w:t>Besoldung</w:t>
      </w:r>
    </w:p>
    <w:p>
      <w:pPr>
        <w:jc w:val="left"/>
      </w:pPr>
      <w:r>
        <w:t>Die Besoldungsfrage darf nicht mit der Vorsitzendenstelle vermengt werden. Sonst wirkt der Schriftsatz unscharf. Statusamt, Erfahrungsstufe, Familienzuschlag und amtsangemessene Alimentation sind getrennte Pfade.</w:t>
      </w:r>
    </w:p>
    <w:p>
      <w:pPr>
        <w:pStyle w:val="Heading2"/>
      </w:pPr>
      <w:r>
        <w:rPr>
          <w:rFonts w:ascii="Times New Roman" w:hAnsi="Times New Roman"/>
        </w:rPr>
        <w:t>Gesundheit</w:t>
      </w:r>
    </w:p>
    <w:p>
      <w:pPr>
        <w:jc w:val="left"/>
      </w:pPr>
      <w:r>
        <w:t>Die Mandantin reagiert verständlich empfindlich auf die Untersuchungsanordnung. Trotzdem sollte die Kommunikation sachlich bleiben. Eine Totalverweigerung kann disziplinarisch oder statusrechtlich ungünstig sein. Besser: Konkretisierung verlangen, Datenschutz wahren, ärztliche Unterlagen dosiert einsetzen.</w:t>
      </w:r>
    </w:p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Stärkste Linie: Verfahrens- und Dokumentationsfehler. Zweitstärkste Linie: Vergleichbarkeit der Beurteilungen. Schwächere Linie: unmittelbarer Anspruch auf Auswahl.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