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Eidesstattliche Versicherung Dr. Ottilie Mondsee</w:t>
      </w:r>
    </w:p>
    <w:p>
      <w:pPr>
        <w:jc w:val="left"/>
      </w:pPr>
      <w:r>
        <w:t>Ich, Dr. Ottilie Mondsee, wohnhaft in Falkenried, versichere an Eides statt:</w:t>
      </w:r>
    </w:p>
    <w:p>
      <w:pPr>
        <w:pStyle w:val="ListNumber"/>
      </w:pPr>
      <w:r>
        <w:t>Ich habe mich am 17.02.2026 auf die ausgeschriebene Stelle einer Vorsitzenden Richterin am Landgericht Falkenried beworben. Die Bewerbung erfolgte fristgerecht über den Dienstweg. Eine Eingangsbestätigung erhielt ich am 19.02.2026.</w:t>
      </w:r>
    </w:p>
    <w:p>
      <w:pPr>
        <w:pStyle w:val="ListNumber"/>
      </w:pPr>
      <w:r>
        <w:t>In den Jahren 2024 und 2025 habe ich in der 8. großen Strafkammer mehrfach die Sitzungsleitung übernommen. Dies betraf insbesondere das Verfahren 8 KLs 44/24 „Wetterleuchten“ mit 18 Hauptverhandlungstagen, das Verfahren 8 KLs 9/25 „Schacht 17“ mit 26 Hauptverhandlungstagen und das Verfahren 8 KLs 31/25 „Sander/Helmfried“ mit umfangreicher Telekommunikationsauswertung. Ich habe die Termine abgestimmt, Beweisanträge vorsortiert, Verständigungsgespräche protokolliert und in mehreren Terminen die Sitzung allein geführt, weil der damalige Vorsitzende krankheitsbedingt ausfiel.</w:t>
      </w:r>
    </w:p>
    <w:p>
      <w:pPr>
        <w:pStyle w:val="ListNumber"/>
      </w:pPr>
      <w:r>
        <w:t>Der Präsident des Landgerichts sagte mir am 14.11.2025 in einem Gespräch in seinem Dienstzimmer, ich sei „für den Vorsitz sichtbar in der ersten Reihe“. Er bat mich, in der Sitzungsvorbereitung der Kammer weiterhin „die unangenehmen Strukturfragen“ zu übernehmen. Er wies nicht darauf hin, dass mir Leitungserfahrung fehle.</w:t>
      </w:r>
    </w:p>
    <w:p>
      <w:pPr>
        <w:pStyle w:val="ListNumber"/>
      </w:pPr>
      <w:r>
        <w:t>Am 22.05.2026 wurde mir nicht mitgeteilt, dass die Auswahlentscheidung bereits vorbereitet sei. Am 03.06.2026 erhielt ich die Konkurrentenmitteilung. Am 04.06.2026 bat ich telefonisch und per E-Mail um vollständige Akteneinsicht. Die Geschäftsstelle übermittelte mir zunächst nur den Auswahlvermerk und eine gekürzte Beurteilungsübersicht.</w:t>
      </w:r>
    </w:p>
    <w:p>
      <w:pPr>
        <w:pStyle w:val="ListNumber"/>
      </w:pPr>
      <w:r>
        <w:t>In den übermittelten Unterlagen fehlen aus meiner Sicht wesentliche Unterlagen: Gesprächsbögen zum Auswahlgespräch, eine Bewertungsmatrix, die Beurteilungsbeiträge aus der 8. Strafkammer, der Präsidialratsvorgang, die Belastungszahlen der Kammer und die vollständige Geschäftsverteilung für 2024 und 2025.</w:t>
      </w:r>
    </w:p>
    <w:p>
      <w:pPr>
        <w:pStyle w:val="ListNumber"/>
      </w:pPr>
      <w:r>
        <w:t>Das Auswahlgespräch am 15.05.2026 verlief nach meinem Eindruck nicht neutral. Mir wurden mehrfach Fragen gestellt, die auf Konfliktvermeidung, Außendarstellung und „deeskalierende Präsenz“ zielten. Herr Dr. Wendelborn wurde nach meiner Erinnerung stärker zu ministeriellen Projekten und abstrakter Gerichtsorganisation befragt. Ich kann nicht beurteilen, ob die Fragen bewusst unterschiedlich gestellt wurden; sie waren aber jedenfalls nicht gleich strukturiert.</w:t>
      </w:r>
    </w:p>
    <w:p>
      <w:pPr>
        <w:pStyle w:val="ListNumber"/>
      </w:pPr>
      <w:r>
        <w:t>Ich habe nicht behauptet, dass Herr Dr. Wendelborn ungeeignet sei. Mir geht es darum, dass mein eigener Leistungsstand vollständig gesehen wird und nicht durch ministerielle Nähe oder vage Gesprächseindrücke verdrängt wird.</w:t>
      </w:r>
    </w:p>
    <w:p>
      <w:pPr>
        <w:pStyle w:val="ListNumber"/>
      </w:pPr>
      <w:r>
        <w:t>Die Besoldungssache belastet mich zusätzlich. Seit der Geburt meines zweiten Kindes und wegen der Anerkennung einzelner Dienstzeiten ist die Berechnung der Familienzuschläge und Erfahrungsstufen aus meiner Sicht nicht nachvollziehbar. Ich habe deshalb getrennt Widerspruch eingelegt. Die Verknüpfung mit der R2-Stelle ist praktisch erheblich, weil eine verspätete Beförderung auch spätere Versorgungsfragen beeinflussen kann.</w:t>
      </w:r>
    </w:p>
    <w:p>
      <w:pPr>
        <w:jc w:val="left"/>
      </w:pPr>
      <w:r>
        <w:t>Falkenried, 11.06.2026</w:t>
      </w:r>
    </w:p>
    <w:p>
      <w:pPr>
        <w:jc w:val="left"/>
      </w:pPr>
      <w:r>
        <w:t>Dr. Ottilie Mondsee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