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beA-/beBPo-/Fristenlog</w:t>
      </w:r>
    </w:p>
    <w:p>
      <w:pPr>
        <w:pStyle w:val="Heading2"/>
      </w:pPr>
      <w:r>
        <w:rPr>
          <w:rFonts w:ascii="Times New Roman" w:hAnsi="Times New Roman"/>
        </w:rPr>
        <w:t>Eingang und Versand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Datum</w:t>
            </w:r>
          </w:p>
        </w:tc>
        <w:tc>
          <w:tcPr>
            <w:tcW w:type="dxa" w:w="1814"/>
          </w:tcPr>
          <w:p>
            <w:r>
              <w:rPr>
                <w:rFonts w:ascii="Times New Roman" w:hAnsi="Times New Roman"/>
                <w:b/>
                <w:sz w:val="20"/>
              </w:rPr>
              <w:t>Uhrzeit</w:t>
            </w:r>
          </w:p>
        </w:tc>
        <w:tc>
          <w:tcPr>
            <w:tcW w:type="dxa" w:w="1814"/>
          </w:tcPr>
          <w:p>
            <w:r>
              <w:rPr>
                <w:rFonts w:ascii="Times New Roman" w:hAnsi="Times New Roman"/>
                <w:b/>
                <w:sz w:val="20"/>
              </w:rPr>
              <w:t>Kanal</w:t>
            </w:r>
          </w:p>
        </w:tc>
        <w:tc>
          <w:tcPr>
            <w:tcW w:type="dxa" w:w="1814"/>
          </w:tcPr>
          <w:p>
            <w:r>
              <w:rPr>
                <w:rFonts w:ascii="Times New Roman" w:hAnsi="Times New Roman"/>
                <w:b/>
                <w:sz w:val="20"/>
              </w:rPr>
              <w:t>Dokument</w:t>
            </w:r>
          </w:p>
        </w:tc>
        <w:tc>
          <w:tcPr>
            <w:tcW w:type="dxa" w:w="1814"/>
          </w:tcPr>
          <w:p>
            <w:r>
              <w:rPr>
                <w:rFonts w:ascii="Times New Roman" w:hAnsi="Times New Roman"/>
                <w:b/>
                <w:sz w:val="20"/>
              </w:rPr>
              <w:t>Folge</w:t>
            </w:r>
          </w:p>
        </w:tc>
      </w:tr>
      <w:tr>
        <w:tc>
          <w:tcPr>
            <w:tcW w:type="dxa" w:w="1814"/>
          </w:tcPr>
          <w:p>
            <w:r>
              <w:rPr>
                <w:rFonts w:ascii="Times New Roman" w:hAnsi="Times New Roman"/>
                <w:sz w:val="20"/>
              </w:rPr>
              <w:t>03.06.2026</w:t>
            </w:r>
          </w:p>
        </w:tc>
        <w:tc>
          <w:tcPr>
            <w:tcW w:type="dxa" w:w="1814"/>
          </w:tcPr>
          <w:p>
            <w:r>
              <w:rPr>
                <w:rFonts w:ascii="Times New Roman" w:hAnsi="Times New Roman"/>
                <w:sz w:val="20"/>
              </w:rPr>
              <w:t>14:17</w:t>
            </w:r>
          </w:p>
        </w:tc>
        <w:tc>
          <w:tcPr>
            <w:tcW w:type="dxa" w:w="1814"/>
          </w:tcPr>
          <w:p>
            <w:r>
              <w:rPr>
                <w:rFonts w:ascii="Times New Roman" w:hAnsi="Times New Roman"/>
                <w:sz w:val="20"/>
              </w:rPr>
              <w:t>beBPo an Dienstpostfach</w:t>
            </w:r>
          </w:p>
        </w:tc>
        <w:tc>
          <w:tcPr>
            <w:tcW w:type="dxa" w:w="1814"/>
          </w:tcPr>
          <w:p>
            <w:r>
              <w:rPr>
                <w:rFonts w:ascii="Times New Roman" w:hAnsi="Times New Roman"/>
                <w:sz w:val="20"/>
              </w:rPr>
              <w:t>Konkurrentenmitteilung</w:t>
            </w:r>
          </w:p>
        </w:tc>
        <w:tc>
          <w:tcPr>
            <w:tcW w:type="dxa" w:w="1814"/>
          </w:tcPr>
          <w:p>
            <w:r>
              <w:rPr>
                <w:rFonts w:ascii="Times New Roman" w:hAnsi="Times New Roman"/>
                <w:sz w:val="20"/>
              </w:rPr>
              <w:t>Fristprüfung beginnt faktisch sofort</w:t>
            </w:r>
          </w:p>
        </w:tc>
      </w:tr>
      <w:tr>
        <w:tc>
          <w:tcPr>
            <w:tcW w:type="dxa" w:w="1814"/>
          </w:tcPr>
          <w:p>
            <w:r>
              <w:rPr>
                <w:rFonts w:ascii="Times New Roman" w:hAnsi="Times New Roman"/>
                <w:sz w:val="20"/>
              </w:rPr>
              <w:t>04.06.2026</w:t>
            </w:r>
          </w:p>
        </w:tc>
        <w:tc>
          <w:tcPr>
            <w:tcW w:type="dxa" w:w="1814"/>
          </w:tcPr>
          <w:p>
            <w:r>
              <w:rPr>
                <w:rFonts w:ascii="Times New Roman" w:hAnsi="Times New Roman"/>
                <w:sz w:val="20"/>
              </w:rPr>
              <w:t>09:12</w:t>
            </w:r>
          </w:p>
        </w:tc>
        <w:tc>
          <w:tcPr>
            <w:tcW w:type="dxa" w:w="1814"/>
          </w:tcPr>
          <w:p>
            <w:r>
              <w:rPr>
                <w:rFonts w:ascii="Times New Roman" w:hAnsi="Times New Roman"/>
                <w:sz w:val="20"/>
              </w:rPr>
              <w:t>E-Mail Kanzlei</w:t>
            </w:r>
          </w:p>
        </w:tc>
        <w:tc>
          <w:tcPr>
            <w:tcW w:type="dxa" w:w="1814"/>
          </w:tcPr>
          <w:p>
            <w:r>
              <w:rPr>
                <w:rFonts w:ascii="Times New Roman" w:hAnsi="Times New Roman"/>
                <w:sz w:val="20"/>
              </w:rPr>
              <w:t>Bitte vollständige Akteneinsicht</w:t>
            </w:r>
          </w:p>
        </w:tc>
        <w:tc>
          <w:tcPr>
            <w:tcW w:type="dxa" w:w="1814"/>
          </w:tcPr>
          <w:p>
            <w:r>
              <w:rPr>
                <w:rFonts w:ascii="Times New Roman" w:hAnsi="Times New Roman"/>
                <w:sz w:val="20"/>
              </w:rPr>
              <w:t>keine Stillhaltezusage</w:t>
            </w:r>
          </w:p>
        </w:tc>
      </w:tr>
      <w:tr>
        <w:tc>
          <w:tcPr>
            <w:tcW w:type="dxa" w:w="1814"/>
          </w:tcPr>
          <w:p>
            <w:r>
              <w:rPr>
                <w:rFonts w:ascii="Times New Roman" w:hAnsi="Times New Roman"/>
                <w:sz w:val="20"/>
              </w:rPr>
              <w:t>05.06.2026</w:t>
            </w:r>
          </w:p>
        </w:tc>
        <w:tc>
          <w:tcPr>
            <w:tcW w:type="dxa" w:w="1814"/>
          </w:tcPr>
          <w:p>
            <w:r>
              <w:rPr>
                <w:rFonts w:ascii="Times New Roman" w:hAnsi="Times New Roman"/>
                <w:sz w:val="20"/>
              </w:rPr>
              <w:t>16:44</w:t>
            </w:r>
          </w:p>
        </w:tc>
        <w:tc>
          <w:tcPr>
            <w:tcW w:type="dxa" w:w="1814"/>
          </w:tcPr>
          <w:p>
            <w:r>
              <w:rPr>
                <w:rFonts w:ascii="Times New Roman" w:hAnsi="Times New Roman"/>
                <w:sz w:val="20"/>
              </w:rPr>
              <w:t>beBPo</w:t>
            </w:r>
          </w:p>
        </w:tc>
        <w:tc>
          <w:tcPr>
            <w:tcW w:type="dxa" w:w="1814"/>
          </w:tcPr>
          <w:p>
            <w:r>
              <w:rPr>
                <w:rFonts w:ascii="Times New Roman" w:hAnsi="Times New Roman"/>
                <w:sz w:val="20"/>
              </w:rPr>
              <w:t>Auswahlvermerk gekürzt</w:t>
            </w:r>
          </w:p>
        </w:tc>
        <w:tc>
          <w:tcPr>
            <w:tcW w:type="dxa" w:w="1814"/>
          </w:tcPr>
          <w:p>
            <w:r>
              <w:rPr>
                <w:rFonts w:ascii="Times New Roman" w:hAnsi="Times New Roman"/>
                <w:sz w:val="20"/>
              </w:rPr>
              <w:t>Anlagen fehlen</w:t>
            </w:r>
          </w:p>
        </w:tc>
      </w:tr>
      <w:tr>
        <w:tc>
          <w:tcPr>
            <w:tcW w:type="dxa" w:w="1814"/>
          </w:tcPr>
          <w:p>
            <w:r>
              <w:rPr>
                <w:rFonts w:ascii="Times New Roman" w:hAnsi="Times New Roman"/>
                <w:sz w:val="20"/>
              </w:rPr>
              <w:t>08.06.2026</w:t>
            </w:r>
          </w:p>
        </w:tc>
        <w:tc>
          <w:tcPr>
            <w:tcW w:type="dxa" w:w="1814"/>
          </w:tcPr>
          <w:p>
            <w:r>
              <w:rPr>
                <w:rFonts w:ascii="Times New Roman" w:hAnsi="Times New Roman"/>
                <w:sz w:val="20"/>
              </w:rPr>
              <w:t>10:05</w:t>
            </w:r>
          </w:p>
        </w:tc>
        <w:tc>
          <w:tcPr>
            <w:tcW w:type="dxa" w:w="1814"/>
          </w:tcPr>
          <w:p>
            <w:r>
              <w:rPr>
                <w:rFonts w:ascii="Times New Roman" w:hAnsi="Times New Roman"/>
                <w:sz w:val="20"/>
              </w:rPr>
              <w:t>Telefon</w:t>
            </w:r>
          </w:p>
        </w:tc>
        <w:tc>
          <w:tcPr>
            <w:tcW w:type="dxa" w:w="1814"/>
          </w:tcPr>
          <w:p>
            <w:r>
              <w:rPr>
                <w:rFonts w:ascii="Times New Roman" w:hAnsi="Times New Roman"/>
                <w:sz w:val="20"/>
              </w:rPr>
              <w:t>R/42 kündigt Ernennung „noch Juni“ an</w:t>
            </w:r>
          </w:p>
        </w:tc>
        <w:tc>
          <w:tcPr>
            <w:tcW w:type="dxa" w:w="1814"/>
          </w:tcPr>
          <w:p>
            <w:r>
              <w:rPr>
                <w:rFonts w:ascii="Times New Roman" w:hAnsi="Times New Roman"/>
                <w:sz w:val="20"/>
              </w:rPr>
              <w:t>Eilantrag vorbereiten</w:t>
            </w:r>
          </w:p>
        </w:tc>
      </w:tr>
      <w:tr>
        <w:tc>
          <w:tcPr>
            <w:tcW w:type="dxa" w:w="1814"/>
          </w:tcPr>
          <w:p>
            <w:r>
              <w:rPr>
                <w:rFonts w:ascii="Times New Roman" w:hAnsi="Times New Roman"/>
                <w:sz w:val="20"/>
              </w:rPr>
              <w:t>10.06.2026</w:t>
            </w:r>
          </w:p>
        </w:tc>
        <w:tc>
          <w:tcPr>
            <w:tcW w:type="dxa" w:w="1814"/>
          </w:tcPr>
          <w:p>
            <w:r>
              <w:rPr>
                <w:rFonts w:ascii="Times New Roman" w:hAnsi="Times New Roman"/>
                <w:sz w:val="20"/>
              </w:rPr>
              <w:t>18:22</w:t>
            </w:r>
          </w:p>
        </w:tc>
        <w:tc>
          <w:tcPr>
            <w:tcW w:type="dxa" w:w="1814"/>
          </w:tcPr>
          <w:p>
            <w:r>
              <w:rPr>
                <w:rFonts w:ascii="Times New Roman" w:hAnsi="Times New Roman"/>
                <w:sz w:val="20"/>
              </w:rPr>
              <w:t>beA</w:t>
            </w:r>
          </w:p>
        </w:tc>
        <w:tc>
          <w:tcPr>
            <w:tcW w:type="dxa" w:w="1814"/>
          </w:tcPr>
          <w:p>
            <w:r>
              <w:rPr>
                <w:rFonts w:ascii="Times New Roman" w:hAnsi="Times New Roman"/>
                <w:sz w:val="20"/>
              </w:rPr>
              <w:t>anwaltlicher Akteneinsichtsantrag</w:t>
            </w:r>
          </w:p>
        </w:tc>
        <w:tc>
          <w:tcPr>
            <w:tcW w:type="dxa" w:w="1814"/>
          </w:tcPr>
          <w:p>
            <w:r>
              <w:rPr>
                <w:rFonts w:ascii="Times New Roman" w:hAnsi="Times New Roman"/>
                <w:sz w:val="20"/>
              </w:rPr>
              <w:t>Zustellnachweis sichern</w:t>
            </w:r>
          </w:p>
        </w:tc>
      </w:tr>
      <w:tr>
        <w:tc>
          <w:tcPr>
            <w:tcW w:type="dxa" w:w="1814"/>
          </w:tcPr>
          <w:p>
            <w:r>
              <w:rPr>
                <w:rFonts w:ascii="Times New Roman" w:hAnsi="Times New Roman"/>
                <w:sz w:val="20"/>
              </w:rPr>
              <w:t>12.06.2026</w:t>
            </w:r>
          </w:p>
        </w:tc>
        <w:tc>
          <w:tcPr>
            <w:tcW w:type="dxa" w:w="1814"/>
          </w:tcPr>
          <w:p>
            <w:r>
              <w:rPr>
                <w:rFonts w:ascii="Times New Roman" w:hAnsi="Times New Roman"/>
                <w:sz w:val="20"/>
              </w:rPr>
              <w:t>11:01</w:t>
            </w:r>
          </w:p>
        </w:tc>
        <w:tc>
          <w:tcPr>
            <w:tcW w:type="dxa" w:w="1814"/>
          </w:tcPr>
          <w:p>
            <w:r>
              <w:rPr>
                <w:rFonts w:ascii="Times New Roman" w:hAnsi="Times New Roman"/>
                <w:sz w:val="20"/>
              </w:rPr>
              <w:t>beBPo</w:t>
            </w:r>
          </w:p>
        </w:tc>
        <w:tc>
          <w:tcPr>
            <w:tcW w:type="dxa" w:w="1814"/>
          </w:tcPr>
          <w:p>
            <w:r>
              <w:rPr>
                <w:rFonts w:ascii="Times New Roman" w:hAnsi="Times New Roman"/>
                <w:sz w:val="20"/>
              </w:rPr>
              <w:t>Teilnachlieferung Beurteilung</w:t>
            </w:r>
          </w:p>
        </w:tc>
        <w:tc>
          <w:tcPr>
            <w:tcW w:type="dxa" w:w="1814"/>
          </w:tcPr>
          <w:p>
            <w:r>
              <w:rPr>
                <w:rFonts w:ascii="Times New Roman" w:hAnsi="Times New Roman"/>
                <w:sz w:val="20"/>
              </w:rPr>
              <w:t>Gesprächsbögen weiter offen</w:t>
            </w:r>
          </w:p>
        </w:tc>
      </w:tr>
      <w:tr>
        <w:tc>
          <w:tcPr>
            <w:tcW w:type="dxa" w:w="1814"/>
          </w:tcPr>
          <w:p>
            <w:r>
              <w:rPr>
                <w:rFonts w:ascii="Times New Roman" w:hAnsi="Times New Roman"/>
                <w:sz w:val="20"/>
              </w:rPr>
              <w:t>14.06.2026</w:t>
            </w:r>
          </w:p>
        </w:tc>
        <w:tc>
          <w:tcPr>
            <w:tcW w:type="dxa" w:w="1814"/>
          </w:tcPr>
          <w:p>
            <w:r>
              <w:rPr>
                <w:rFonts w:ascii="Times New Roman" w:hAnsi="Times New Roman"/>
                <w:sz w:val="20"/>
              </w:rPr>
              <w:t>20:30</w:t>
            </w:r>
          </w:p>
        </w:tc>
        <w:tc>
          <w:tcPr>
            <w:tcW w:type="dxa" w:w="1814"/>
          </w:tcPr>
          <w:p>
            <w:r>
              <w:rPr>
                <w:rFonts w:ascii="Times New Roman" w:hAnsi="Times New Roman"/>
                <w:sz w:val="20"/>
              </w:rPr>
              <w:t>beA</w:t>
            </w:r>
          </w:p>
        </w:tc>
        <w:tc>
          <w:tcPr>
            <w:tcW w:type="dxa" w:w="1814"/>
          </w:tcPr>
          <w:p>
            <w:r>
              <w:rPr>
                <w:rFonts w:ascii="Times New Roman" w:hAnsi="Times New Roman"/>
                <w:sz w:val="20"/>
              </w:rPr>
              <w:t>Entwurf Eilantrag intern final</w:t>
            </w:r>
          </w:p>
        </w:tc>
        <w:tc>
          <w:tcPr>
            <w:tcW w:type="dxa" w:w="1814"/>
          </w:tcPr>
          <w:p>
            <w:r>
              <w:rPr>
                <w:rFonts w:ascii="Times New Roman" w:hAnsi="Times New Roman"/>
                <w:sz w:val="20"/>
              </w:rPr>
              <w:t>Anlagenabgleich offen</w:t>
            </w:r>
          </w:p>
        </w:tc>
      </w:tr>
    </w:tbl>
    <w:p>
      <w:pPr>
        <w:pStyle w:val="Heading2"/>
      </w:pPr>
      <w:r>
        <w:rPr>
          <w:rFonts w:ascii="Times New Roman" w:hAnsi="Times New Roman"/>
        </w:rPr>
        <w:t>Fristenbewertung</w:t>
      </w:r>
    </w:p>
    <w:p>
      <w:pPr>
        <w:jc w:val="left"/>
      </w:pPr>
      <w:r>
        <w:t>Die Akte enthält keine formalisierte Stillhaltefrist. In Konkurrentenstreitigkeiten ist daher nicht nur die Monatsfrist für Widerspruch oder Klage im Blick zu halten, sondern vor allem die tatsächliche Gefahr des Statusvollzugs. Die Kanzlei behandelt den 17.06.2026 als spätesten Tag für den Eilantrag, sofern keine belastbare Stillhaltezusage eingeht. Eine „freundliche Bitte“ aus der Geschäftsstelle genügt nicht, weil sie weder den Dienstherrn bindet noch die Ernennungsstelle sperrt.</w:t>
      </w:r>
    </w:p>
    <w:p>
      <w:pPr>
        <w:pStyle w:val="Heading2"/>
      </w:pPr>
      <w:r>
        <w:rPr>
          <w:rFonts w:ascii="Times New Roman" w:hAnsi="Times New Roman"/>
        </w:rPr>
        <w:t>Technische Prüfpunkte</w:t>
      </w:r>
    </w:p>
    <w:p>
      <w:pPr>
        <w:pStyle w:val="ListBullet"/>
      </w:pPr>
      <w:r>
        <w:t>Versand aus dem Kanzlei-beA durch die verantwortliche Rechtsanwältin persönlich oder mit qualifizierter elektronischer Signatur.</w:t>
      </w:r>
    </w:p>
    <w:p>
      <w:pPr>
        <w:pStyle w:val="ListBullet"/>
      </w:pPr>
      <w:r>
        <w:t>Anlagen im PDF-Verbund nummerieren und zusätzlich einzeln als Anlagen A 1 bis A 10 benennen.</w:t>
      </w:r>
    </w:p>
    <w:p>
      <w:pPr>
        <w:pStyle w:val="ListBullet"/>
      </w:pPr>
      <w:r>
        <w:t>Keine vertraulichen Gesundheitsunterlagen ohne gesonderte Schwärzung in den Auswahlstreit einführen; nur soweit erforderlich und mit Hinweis auf Nebenakte.</w:t>
      </w:r>
    </w:p>
    <w:p>
      <w:pPr>
        <w:pStyle w:val="ListBullet"/>
      </w:pPr>
      <w:r>
        <w:t>Empfangsbekenntnisse und Sendeprotokolle in die Fristenakte übernehmen.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