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Besoldungsberechnung R-Besoldung und Familienzuschlag - Arbeitsvermerk</w:t>
      </w:r>
    </w:p>
    <w:p>
      <w:pPr>
        <w:pStyle w:val="Heading2"/>
      </w:pPr>
      <w:r>
        <w:rPr>
          <w:rFonts w:ascii="Times New Roman" w:hAnsi="Times New Roman"/>
        </w:rPr>
        <w:t>Ausgangslage</w:t>
      </w:r>
    </w:p>
    <w:p>
      <w:pPr>
        <w:jc w:val="left"/>
      </w:pPr>
      <w:r>
        <w:t>Dr. Ottilie Mondsee befindet sich in der R-Besoldung. Streit besteht nicht nur über die Frage, ob eine Vorsitzendenstelle besetzt wird, sondern auch über mehrere Berechnungselemente: Erfahrungsstufe, Anerkennung früherer Zeiten, Familienzuschlag, Teilzeitphasen, ruhegehaltfähige Dienstzeit und Nachzahlung bei späterer Korrektur. Die Akte zeigt, wie schwer eine scheinbar technische Besoldungsberechnung in der Praxis wird, wenn Statusrecht, Familienstand, Kinder, Teilzeit, Elternzeit, Abordnung und richterliche Funktion ineinandergreifen.</w:t>
      </w:r>
    </w:p>
    <w:p>
      <w:pPr>
        <w:pStyle w:val="Heading2"/>
      </w:pPr>
      <w:r>
        <w:rPr>
          <w:rFonts w:ascii="Times New Roman" w:hAnsi="Times New Roman"/>
        </w:rPr>
        <w:t>Prüffragen</w:t>
      </w:r>
    </w:p>
    <w:p>
      <w:pPr>
        <w:pStyle w:val="ListNumber"/>
      </w:pPr>
      <w:r>
        <w:t>Welche Besoldungsordnung gilt für das konkrete Richteramt?</w:t>
      </w:r>
    </w:p>
    <w:p>
      <w:pPr>
        <w:pStyle w:val="ListNumber"/>
      </w:pPr>
      <w:r>
        <w:t>Welche Erfahrungsstufe wurde ursprünglich festgesetzt?</w:t>
      </w:r>
    </w:p>
    <w:p>
      <w:pPr>
        <w:pStyle w:val="ListNumber"/>
      </w:pPr>
      <w:r>
        <w:t>Welche Zeiten wurden anerkannt, welche nur teilweise und welche gar nicht?</w:t>
      </w:r>
    </w:p>
    <w:p>
      <w:pPr>
        <w:pStyle w:val="ListNumber"/>
      </w:pPr>
      <w:r>
        <w:t>Sind familienbezogene Bestandteile vollständig abgebildet?</w:t>
      </w:r>
    </w:p>
    <w:p>
      <w:pPr>
        <w:pStyle w:val="ListNumber"/>
      </w:pPr>
      <w:r>
        <w:t>Gibt es zeitliche Brüche durch Elternzeit, Teilzeit, Abordnung oder Dienstunfähigkeit?</w:t>
      </w:r>
    </w:p>
    <w:p>
      <w:pPr>
        <w:pStyle w:val="ListNumber"/>
      </w:pPr>
      <w:r>
        <w:t>Muss ein Widerspruch gegen jede Besoldungsmitteilung geführt werden oder genügt ein Grundwiderspruch?</w:t>
      </w:r>
    </w:p>
    <w:p>
      <w:pPr>
        <w:pStyle w:val="ListNumber"/>
      </w:pPr>
      <w:r>
        <w:t>Welche Nachweise liegen vor und welche Nachweise sind noch nicht aktenkundig?</w:t>
      </w:r>
    </w:p>
    <w:p>
      <w:pPr>
        <w:pStyle w:val="Heading2"/>
      </w:pPr>
      <w:r>
        <w:rPr>
          <w:rFonts w:ascii="Times New Roman" w:hAnsi="Times New Roman"/>
        </w:rPr>
        <w:t>Arbeitsnotiz zur Stufenfestsetzung</w:t>
      </w:r>
    </w:p>
    <w:p>
      <w:pPr>
        <w:jc w:val="left"/>
      </w:pPr>
      <w:r>
        <w:t>Die Festsetzung vom 12.01.2024 berücksichtigt die richterliche Tätigkeit ab 01.03.2019. Nicht sichtbar sind die wissenschaftliche Mitarbeit an einem Obergericht, die abgeordnete Tätigkeit in der Justizakademie und die Übernahme kommissarischer Leitungsaufgaben. Zu klären ist, ob diese Zeiten besoldungsrechtlich nur karrierebiografisch interessant oder tatsächlich stufenrelevant sind. Die Kanzlei darf nicht vorschnell behaupten, jede juristische Vorerfahrung erhöhe die Erfahrungsstufe. Sie muss konkret prüfen, ob das anwendbare Landesrecht eine Anerkennung erlaubt, gebietet oder in das Ermessen stellt.</w:t>
      </w:r>
    </w:p>
    <w:p>
      <w:pPr>
        <w:pStyle w:val="Heading2"/>
      </w:pPr>
      <w:r>
        <w:rPr>
          <w:rFonts w:ascii="Times New Roman" w:hAnsi="Times New Roman"/>
        </w:rPr>
        <w:t>Familienzuschlag</w:t>
      </w:r>
    </w:p>
    <w:p>
      <w:pPr>
        <w:jc w:val="left"/>
      </w:pPr>
      <w:r>
        <w:t>Die Akte enthält drei widersprüchliche Tabellen. Tabelle A aus der Bezügestelle weist zwei Kinder aus, Tabelle B führt nur ein Kind, Tabelle C enthält eine Korrektur mit Rückrechnung, aber ohne Begründung. Die Mandantin berichtet, sie habe die Geburt des zweiten Kindes im Portal eingetragen und zusätzlich per E-Mail gemeldet. Die Bezügestelle findet nur die Portalmitteilung, nicht aber den elektronischen Nachweis. Für den Widerspruch ist deshalb wichtig, nicht nur die materiell-rechtliche Anspruchslage, sondern auch den Nachweisweg zu rekonstruieren.</w:t>
      </w:r>
    </w:p>
    <w:p>
      <w:pPr>
        <w:pStyle w:val="Heading2"/>
      </w:pPr>
      <w:r>
        <w:rPr>
          <w:rFonts w:ascii="Times New Roman" w:hAnsi="Times New Roman"/>
        </w:rPr>
        <w:t>Verhältnis zu Auswahlstreit</w:t>
      </w:r>
    </w:p>
    <w:p>
      <w:pPr>
        <w:jc w:val="left"/>
      </w:pPr>
      <w:r>
        <w:t>Die R2-Stelle selbst ist keine reine Besoldungsfrage. Sie ist statusrechtlich höherwertig. Gleichwohl ist die finanzielle Folge erheblich. Für eine spätere Schadensersatzberechnung muss die Kanzlei vorsorglich dokumentieren, welche Differenzbeträge seit welchem Zeitpunkt entstanden wären, wenn die Mandantin rechtzeitig befördert worden wäre. Dazu gehört auch eine Prognose, welche Folgewirkungen für Versorgung und ruhegehaltfähige Dienstzeit entstehen können.</w:t>
      </w:r>
    </w:p>
    <w:p>
      <w:pPr>
        <w:pStyle w:val="Heading2"/>
      </w:pPr>
      <w:r>
        <w:rPr>
          <w:rFonts w:ascii="Times New Roman" w:hAnsi="Times New Roman"/>
        </w:rPr>
        <w:t>Offene Nachweise</w:t>
      </w:r>
    </w:p>
    <w:p>
      <w:pPr>
        <w:pStyle w:val="ListBullet"/>
      </w:pPr>
      <w:r>
        <w:t>vollständige Bezügemitteilungen 2023 bis 2026,</w:t>
      </w:r>
    </w:p>
    <w:p>
      <w:pPr>
        <w:pStyle w:val="ListBullet"/>
      </w:pPr>
      <w:r>
        <w:t>Stufenfestsetzungsbescheid mit Rechtsbehelfsbelehrung,</w:t>
      </w:r>
    </w:p>
    <w:p>
      <w:pPr>
        <w:pStyle w:val="ListBullet"/>
      </w:pPr>
      <w:r>
        <w:t>Nachweise über Elternzeit und Teilzeit,</w:t>
      </w:r>
    </w:p>
    <w:p>
      <w:pPr>
        <w:pStyle w:val="ListBullet"/>
      </w:pPr>
      <w:r>
        <w:t>Geburtsurkunden beziehungsweise Familiennachweise nur in geschwärzter Form,</w:t>
      </w:r>
    </w:p>
    <w:p>
      <w:pPr>
        <w:pStyle w:val="ListBullet"/>
      </w:pPr>
      <w:r>
        <w:t>Portalprotokoll der Bezügestelle,</w:t>
      </w:r>
    </w:p>
    <w:p>
      <w:pPr>
        <w:pStyle w:val="ListBullet"/>
      </w:pPr>
      <w:r>
        <w:t>Dienstzeitbescheinigung Justizakademie,</w:t>
      </w:r>
    </w:p>
    <w:p>
      <w:pPr>
        <w:pStyle w:val="ListBullet"/>
      </w:pPr>
      <w:r>
        <w:t>Schriftverkehr zur kommissarischen Vorsitzendentätigkeit.</w:t>
      </w:r>
    </w:p>
    <w:p>
      <w:pPr>
        <w:pStyle w:val="Heading2"/>
      </w:pPr>
      <w:r>
        <w:rPr>
          <w:rFonts w:ascii="Times New Roman" w:hAnsi="Times New Roman"/>
        </w:rPr>
        <w:t>Arbeitsanweisung</w:t>
      </w:r>
    </w:p>
    <w:p>
      <w:pPr>
        <w:jc w:val="left"/>
      </w:pPr>
      <w:r>
        <w:t>Die Kanzlei erstellt zwei getrennte, aber aufeinander abgestimmte Schriftsatzlinien: erstens den Eilrechtsschutz gegen die Stellenbesetzung, zweitens den Besoldungswiderspruch mit Nachzahlungs- und Verzinsungsprüfung. In beiden Linien werden dieselben Tatsachen nur einmal sauber aufbereitet, damit es später keine Widersprüche zwischen Personalaktenvortrag und Besoldungsvortrag gibt.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