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Nebentätigkeit, Vortrag und richterliches Rollenbild</w:t>
      </w:r>
    </w:p>
    <w:p>
      <w:pPr>
        <w:pStyle w:val="Heading2"/>
      </w:pPr>
      <w:r>
        <w:rPr>
          <w:rFonts w:ascii="Times New Roman" w:hAnsi="Times New Roman"/>
        </w:rPr>
        <w:t>Anlass</w:t>
      </w:r>
    </w:p>
    <w:p>
      <w:pPr>
        <w:jc w:val="left"/>
      </w:pPr>
      <w:r>
        <w:t>Dr. Mondsee hat im März 2026 einen Vortrag zum Thema „KI-gestützte Aktenstrukturierung im Strafverfahren“ bei einer juristischen Fachveranstaltung zugesagt. Das Ministerium hält den Vortrag nicht für genehmigungsfrei, weil ein Verlag als Mitveranstalter auftritt, ein Honorar angeboten wurde und das Thema mittelbar dienstliche Arbeitsabläufe berührt. Die Mandantin sieht darin eine überzogene Kontrolle wissenschaftlicher und beruflicher Äußerungen.</w:t>
      </w:r>
    </w:p>
    <w:p>
      <w:pPr>
        <w:pStyle w:val="Heading2"/>
      </w:pPr>
      <w:r>
        <w:rPr>
          <w:rFonts w:ascii="Times New Roman" w:hAnsi="Times New Roman"/>
        </w:rPr>
        <w:t>Juristische Arbeitslinie</w:t>
      </w:r>
    </w:p>
    <w:p>
      <w:pPr>
        <w:jc w:val="left"/>
      </w:pPr>
      <w:r>
        <w:t>Eine richterliche Nebentätigkeit ist nicht schon deshalb unzulässig, weil sie fachlich mit der richterlichen Tätigkeit zusammenhängt. Gerade Fachvorträge, wissenschaftliche Veröffentlichungen und Fortbildungen gehören zur beruflichen Realität. Gleichwohl können Genehmigungs-, Anzeige- und Ablieferungspflichten bestehen. Entscheidend ist die konkrete Ausgestaltung: Honorarhöhe, Veranstalter, Zeitaufwand, dienstliche Ressourcen, Vertraulichkeit, richterliche Zurückhaltung und mögliche Interessenkonflikte.</w:t>
      </w:r>
    </w:p>
    <w:p>
      <w:pPr>
        <w:pStyle w:val="Heading2"/>
      </w:pPr>
      <w:r>
        <w:rPr>
          <w:rFonts w:ascii="Times New Roman" w:hAnsi="Times New Roman"/>
        </w:rPr>
        <w:t>Tatsachenfragen</w:t>
      </w:r>
    </w:p>
    <w:p>
      <w:pPr>
        <w:pStyle w:val="ListBullet"/>
      </w:pPr>
      <w:r>
        <w:t>Wurde Dienstzeit verwendet oder handelt es sich um Freizeit?</w:t>
      </w:r>
    </w:p>
    <w:p>
      <w:pPr>
        <w:pStyle w:val="ListBullet"/>
      </w:pPr>
      <w:r>
        <w:t>Werden konkrete Verfahren, Akteninhalte oder interne Arbeitsabläufe offengelegt?</w:t>
      </w:r>
    </w:p>
    <w:p>
      <w:pPr>
        <w:pStyle w:val="ListBullet"/>
      </w:pPr>
      <w:r>
        <w:t>Tritt die Mandantin als Richterin in amtlicher Funktion oder als private Referentin auf?</w:t>
      </w:r>
    </w:p>
    <w:p>
      <w:pPr>
        <w:pStyle w:val="ListBullet"/>
      </w:pPr>
      <w:r>
        <w:t>Ist das Honorar marktüblich oder auffällig?</w:t>
      </w:r>
    </w:p>
    <w:p>
      <w:pPr>
        <w:pStyle w:val="ListBullet"/>
      </w:pPr>
      <w:r>
        <w:t>Gibt es Sponsoren, Prozessbeteiligte oder Unternehmen mit Bezug zur Strafjustiz?</w:t>
      </w:r>
    </w:p>
    <w:p>
      <w:pPr>
        <w:pStyle w:val="ListBullet"/>
      </w:pPr>
      <w:r>
        <w:t>Wurde der Vortrag bereits angezeigt und wie hat die Behörde reagiert?</w:t>
      </w:r>
    </w:p>
    <w:p>
      <w:pPr>
        <w:pStyle w:val="Heading2"/>
      </w:pPr>
      <w:r>
        <w:rPr>
          <w:rFonts w:ascii="Times New Roman" w:hAnsi="Times New Roman"/>
        </w:rPr>
        <w:t>Risiko in der Auswahlakte</w:t>
      </w:r>
    </w:p>
    <w:p>
      <w:pPr>
        <w:jc w:val="left"/>
      </w:pPr>
      <w:r>
        <w:t>Der Auswahlvermerk erwähnt die Nebentätigkeit auffällig beiläufig: „umfangreiche außergerichtliche Aktivitäten, hohe Sichtbarkeit“. Das kann positiv gemeint sein, kann aber auch als verdeckter Hinweis auf mangelnde Konzentration oder vermeintliche Unruhe verstanden werden. Die Kanzlei sollte vermeiden, aus der Nebentätigkeit einen Nebenschauplatz zu machen. Gleichwohl ist zu verhindern, dass zulässige fachliche Sichtbarkeit gegen die Mandantin gewendet wird.</w:t>
      </w:r>
    </w:p>
    <w:p>
      <w:pPr>
        <w:pStyle w:val="Heading2"/>
      </w:pPr>
      <w:r>
        <w:rPr>
          <w:rFonts w:ascii="Times New Roman" w:hAnsi="Times New Roman"/>
        </w:rPr>
        <w:t>Formulierungsvorschlag</w:t>
      </w:r>
    </w:p>
    <w:p>
      <w:pPr>
        <w:jc w:val="left"/>
      </w:pPr>
      <w:r>
        <w:t>Die Antragstellerin macht nicht geltend, richterliche Nebentätigkeiten seien grenzenlos frei. Sie verlangt lediglich eine trennscharfe Prüfung. Ein fachlicher Vortrag ohne Aktenbezug, ohne dienstliche Ressourcen und ohne Interessenkollision darf nicht in der Auswahlentscheidung als weicher Malus erscheinen. Sollte der Dienstherr Bedenken haben, sind diese im Nebentätigkeitsverfahren offen zu benennen und nicht verdeckt im Beförderungsverfahren zu verwerten.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