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nach Teilabhilfe und Aktennachlieferung</w:t>
      </w:r>
    </w:p>
    <w:p>
      <w:pPr>
        <w:jc w:val="left"/>
      </w:pPr>
      <w:r>
        <w:t>Die nachgereichten Unterlagen bestätigen die Bedenken der Antragstellerin. Der Beurteilungsbeitrag Dr. Degenhardt beschreibt eine tatsächliche Leitungstätigkeit der Antragstellerin in Umfangsverfahren, die im Auswahlvermerk nicht angemessen abgebildet ist. Die Gesprächsnotizen zeigen zudem, dass unklare Persönlichkeitszuschreibungen in die Bewertung eingeflossen sind.</w:t>
      </w:r>
    </w:p>
    <w:p>
      <w:pPr>
        <w:pStyle w:val="Heading2"/>
      </w:pPr>
      <w:r>
        <w:rPr>
          <w:rFonts w:ascii="Times New Roman" w:hAnsi="Times New Roman"/>
        </w:rPr>
        <w:t>1. Nachgeschobene Begründung genügt nicht</w:t>
      </w:r>
    </w:p>
    <w:p>
      <w:pPr>
        <w:jc w:val="left"/>
      </w:pPr>
      <w:r>
        <w:t>Der Antragsgegner kann die Auswahlentscheidung nicht dadurch retten, dass er im gerichtlichen Verfahren neue Erwägungen formuliert. Entscheidend ist, ob die ursprüngliche Entscheidung auf einer tragfähigen, dokumentierten Grundlage beruhte. Eine Aktennachlieferung kann Transparenz herstellen, ersetzt aber keine fehlerfreie Auswahl.</w:t>
      </w:r>
    </w:p>
    <w:p>
      <w:pPr>
        <w:pStyle w:val="Heading2"/>
      </w:pPr>
      <w:r>
        <w:rPr>
          <w:rFonts w:ascii="Times New Roman" w:hAnsi="Times New Roman"/>
        </w:rPr>
        <w:t>2. Leitungserfahrung der Antragstellerin</w:t>
      </w:r>
    </w:p>
    <w:p>
      <w:pPr>
        <w:jc w:val="left"/>
      </w:pPr>
      <w:r>
        <w:t>Die kommissarische Sitzungsleitung ist keine bloße Randtätigkeit. Sie betrifft genau den Kern der ausgeschriebenen Stelle. Der Antragsgegner bewertet beim Beigeladenen ministerielle Projektleitung als Führungserfahrung, reduziert aber bei der Antragstellerin praktische Spruchkörperleitung auf eine formale Vertretung. Das ist nicht konsistent.</w:t>
      </w:r>
    </w:p>
    <w:p>
      <w:pPr>
        <w:pStyle w:val="Heading2"/>
      </w:pPr>
      <w:r>
        <w:rPr>
          <w:rFonts w:ascii="Times New Roman" w:hAnsi="Times New Roman"/>
        </w:rPr>
        <w:t>3. Auswahlgespräch</w:t>
      </w:r>
    </w:p>
    <w:p>
      <w:pPr>
        <w:jc w:val="left"/>
      </w:pPr>
      <w:r>
        <w:t>Die nachgereichten Notizen lassen kein strukturiertes Bewertungssystem erkennen. Begriffe wie „zu pointiert“ oder „sehr fachlich“ sind ohne Maßstab nicht belastbar. Eine Bewerberin darf nicht deshalb schlechter gestellt werden, weil sie fachlich präzise und verfahrensstark auftritt. Wenn das Ministerium deeskalierende Sitzungsleitung für zentral hält, muss es dieses Kriterium vorab definieren und gleichmäßig prüfen.</w:t>
      </w:r>
    </w:p>
    <w:p>
      <w:pPr>
        <w:pStyle w:val="Heading2"/>
      </w:pPr>
      <w:r>
        <w:rPr>
          <w:rFonts w:ascii="Times New Roman" w:hAnsi="Times New Roman"/>
        </w:rPr>
        <w:t>4. Präsidialrat</w:t>
      </w:r>
    </w:p>
    <w:p>
      <w:pPr>
        <w:jc w:val="left"/>
      </w:pPr>
      <w:r>
        <w:t>Der Präsidialrat hat offenbar keinen vollständigen Beurteilungsbeitrag erhalten. Jedenfalls lässt sich dies aus der Akte nicht nachvollziehen. Eine Beteiligung, die auf gekürzten Unterlagen beruht, kann ihre Funktion nicht erfüllen.</w:t>
      </w:r>
    </w:p>
    <w:p>
      <w:pPr>
        <w:pStyle w:val="Heading2"/>
      </w:pPr>
      <w:r>
        <w:rPr>
          <w:rFonts w:ascii="Times New Roman" w:hAnsi="Times New Roman"/>
        </w:rPr>
        <w:t>5. Ergebnis</w:t>
      </w:r>
    </w:p>
    <w:p>
      <w:pPr>
        <w:jc w:val="left"/>
      </w:pPr>
      <w:r>
        <w:t>Die Ernennung ist weiter zu untersagen. Der Dienstherr kann eine neue Entscheidung treffen, wenn er die Tatsachengrundlage vervollständigt, das Anforderungsprofil sauber anwendet und die Bewerber anhand vergleichbarer Kriterien bewertet.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