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Mandantinnenbrief - Erklärung der nächsten Schritte</w:t>
      </w:r>
    </w:p>
    <w:p>
      <w:pPr>
        <w:jc w:val="left"/>
      </w:pPr>
      <w:r>
        <w:t>Liebe Frau Dr. Mondsee,</w:t>
      </w:r>
    </w:p>
    <w:p>
      <w:pPr>
        <w:jc w:val="left"/>
      </w:pPr>
      <w:r>
        <w:t>wir haben nun eine Aktenlage, die deutlich besser ist als zu Beginn. Wichtig ist: Das Gericht wird nicht sagen, dass Sie automatisch Vorsitzende werden müssen. Es kann aber verhindern, dass die Stelle vorschnell besetzt wird, und den Dienstherrn verpflichten, Ihre Bewerbung neu und sauber zu bewerten.</w:t>
      </w:r>
    </w:p>
    <w:p>
      <w:pPr>
        <w:pStyle w:val="Heading2"/>
      </w:pPr>
      <w:r>
        <w:rPr>
          <w:rFonts w:ascii="Times New Roman" w:hAnsi="Times New Roman"/>
        </w:rPr>
        <w:t>Was gut für uns ist</w:t>
      </w:r>
    </w:p>
    <w:p>
      <w:pPr>
        <w:jc w:val="left"/>
      </w:pPr>
      <w:r>
        <w:t>Die nachgereichten Unterlagen zeigen, dass Ihre tatsächliche Leitungserfahrung in der ersten Fassung zu kurz kam. Der Beurteilungsbeitrag aus der Strafkammer ist stark. Er passt genau zu dem, was in der Ausschreibung gesucht wurde: Strukturierung von Umfangsverfahren, Sitzungsleitung, Verfahrensförderung, Umgang mit Beteiligten und Belastung.</w:t>
      </w:r>
    </w:p>
    <w:p>
      <w:pPr>
        <w:pStyle w:val="Heading2"/>
      </w:pPr>
      <w:r>
        <w:rPr>
          <w:rFonts w:ascii="Times New Roman" w:hAnsi="Times New Roman"/>
        </w:rPr>
        <w:t>Was schwierig bleibt</w:t>
      </w:r>
    </w:p>
    <w:p>
      <w:pPr>
        <w:jc w:val="left"/>
      </w:pPr>
      <w:r>
        <w:t>Der Dienstherr hat Spielräume. Er darf Leitungserfahrung unterschiedlich gewichten und muss nicht jede starke Bewerberin auswählen. Außerdem hat der Beigeladene ebenfalls gute Unterlagen. Wir dürfen deshalb nicht behaupten, die Sache sei eindeutig. Unser bester Punkt ist nicht „Mondsee ist besser“, sondern: „Das Verfahren hat Ihre Stärken nicht vollständig und vergleichbar bewertet.“</w:t>
      </w:r>
    </w:p>
    <w:p>
      <w:pPr>
        <w:pStyle w:val="Heading2"/>
      </w:pPr>
      <w:r>
        <w:rPr>
          <w:rFonts w:ascii="Times New Roman" w:hAnsi="Times New Roman"/>
        </w:rPr>
        <w:t>Was Sie jetzt bitte nicht tun</w:t>
      </w:r>
    </w:p>
    <w:p>
      <w:pPr>
        <w:jc w:val="left"/>
      </w:pPr>
      <w:r>
        <w:t>Bitte keine direkten Gespräche mit dem Ministerium über den Inhalt des Verfahrens ohne uns. Bitte auch keine Weiterleitung sensibler Unterlagen an Kolleginnen oder Kollegen. Es ist verständlich, dass Sie Unterstützung suchen, aber jede unkontrollierte Kommunikation kann in einer Personalakte oder in einer informellen Rückmeldung auftauchen.</w:t>
      </w:r>
    </w:p>
    <w:p>
      <w:pPr>
        <w:pStyle w:val="Heading2"/>
      </w:pPr>
      <w:r>
        <w:rPr>
          <w:rFonts w:ascii="Times New Roman" w:hAnsi="Times New Roman"/>
        </w:rPr>
        <w:t>Nächste Schritte</w:t>
      </w:r>
    </w:p>
    <w:p>
      <w:pPr>
        <w:pStyle w:val="ListNumber"/>
      </w:pPr>
      <w:r>
        <w:t>Wir finalisieren die Replik.</w:t>
      </w:r>
    </w:p>
    <w:p>
      <w:pPr>
        <w:pStyle w:val="ListNumber"/>
      </w:pPr>
      <w:r>
        <w:t>Wir beantragen ergänzend Einsicht in die vollständigen Gesprächsbögen.</w:t>
      </w:r>
    </w:p>
    <w:p>
      <w:pPr>
        <w:pStyle w:val="ListNumber"/>
      </w:pPr>
      <w:r>
        <w:t>Wir halten die Stillhaltezusage im Blick.</w:t>
      </w:r>
    </w:p>
    <w:p>
      <w:pPr>
        <w:pStyle w:val="ListNumber"/>
      </w:pPr>
      <w:r>
        <w:t>Wir führen den Besoldungswiderspruch getrennt weiter.</w:t>
      </w:r>
    </w:p>
    <w:p>
      <w:pPr>
        <w:pStyle w:val="ListNumber"/>
      </w:pPr>
      <w:r>
        <w:t>Wir prüfen, ob die amtsärztliche Untersuchungsanordnung isoliert angegriffen werden muss.</w:t>
      </w:r>
    </w:p>
    <w:p>
      <w:pPr>
        <w:pStyle w:val="Heading2"/>
      </w:pPr>
      <w:r>
        <w:rPr>
          <w:rFonts w:ascii="Times New Roman" w:hAnsi="Times New Roman"/>
        </w:rPr>
        <w:t>Realistische Erwartung</w:t>
      </w:r>
    </w:p>
    <w:p>
      <w:pPr>
        <w:jc w:val="left"/>
      </w:pPr>
      <w:r>
        <w:t>Ein guter Ausgang wäre eine gerichtliche Sperre mit erneuter Auswahlentscheidung. Ein sehr guter Ausgang wäre, dass das Ministerium die Auswahl freiwillig neu aufsetzt. Ein schlechter, aber noch beherrschbarer Ausgang wäre eine Ablehnung des Eilantrags; dann müssten wir sehr schnell prüfen, ob Beschwerde eingelegt wird.</w:t>
      </w:r>
    </w:p>
    <w:p>
      <w:pPr>
        <w:jc w:val="left"/>
      </w:pPr>
      <w:r>
        <w:t>Mit freundlichen Grüßen</w:t>
      </w:r>
    </w:p>
    <w:p>
      <w:pPr>
        <w:jc w:val="left"/>
      </w:pPr>
      <w:r>
        <w:t>Dr. Marlies Stechlin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