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Vertiefte Auswahlmatrix und Binnendifferenzierung</w:t>
      </w:r>
    </w:p>
    <w:p>
      <w:pPr>
        <w:pStyle w:val="Heading2"/>
      </w:pPr>
      <w:r>
        <w:rPr>
          <w:rFonts w:ascii="Times New Roman" w:hAnsi="Times New Roman"/>
        </w:rPr>
        <w:t>Zweck der Matrix</w:t>
      </w:r>
    </w:p>
    <w:p>
      <w:pPr>
        <w:jc w:val="left"/>
      </w:pPr>
      <w:r>
        <w:t>Die Matrix dient nicht dazu, das Gericht zur eigenen Auswahl zu verleiten. Sie zeigt, wo der Auswahlvermerk des Ministeriums Kategorien verwendet, ohne sie vergleichbar zu füllen. Der Dienstherr darf gewichten. Er muss aber erklären, warum ein Merkmal in gleicher oder besserer Ausprägung bei einer Bewerberin weniger zählt als beim Konkurrenten.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Merkmal</w:t>
            </w:r>
          </w:p>
        </w:tc>
        <w:tc>
          <w:tcPr>
            <w:tcW w:type="dxa" w:w="2268"/>
          </w:tcPr>
          <w:p>
            <w:r>
              <w:rPr>
                <w:rFonts w:ascii="Times New Roman" w:hAnsi="Times New Roman"/>
                <w:b/>
                <w:sz w:val="20"/>
              </w:rPr>
              <w:t>Dr. Mondsee</w:t>
            </w:r>
          </w:p>
        </w:tc>
        <w:tc>
          <w:tcPr>
            <w:tcW w:type="dxa" w:w="2268"/>
          </w:tcPr>
          <w:p>
            <w:r>
              <w:rPr>
                <w:rFonts w:ascii="Times New Roman" w:hAnsi="Times New Roman"/>
                <w:b/>
                <w:sz w:val="20"/>
              </w:rPr>
              <w:t>Dr. Wendelborn</w:t>
            </w:r>
          </w:p>
        </w:tc>
        <w:tc>
          <w:tcPr>
            <w:tcW w:type="dxa" w:w="2268"/>
          </w:tcPr>
          <w:p>
            <w:r>
              <w:rPr>
                <w:rFonts w:ascii="Times New Roman" w:hAnsi="Times New Roman"/>
                <w:b/>
                <w:sz w:val="20"/>
              </w:rPr>
              <w:t>Problem im Auswahlvermerk</w:t>
            </w:r>
          </w:p>
        </w:tc>
      </w:tr>
      <w:tr>
        <w:tc>
          <w:tcPr>
            <w:tcW w:type="dxa" w:w="2268"/>
          </w:tcPr>
          <w:p>
            <w:r>
              <w:rPr>
                <w:rFonts w:ascii="Times New Roman" w:hAnsi="Times New Roman"/>
                <w:sz w:val="20"/>
              </w:rPr>
              <w:t>Strafprozessuale Umfangserfahrung</w:t>
            </w:r>
          </w:p>
        </w:tc>
        <w:tc>
          <w:tcPr>
            <w:tcW w:type="dxa" w:w="2268"/>
          </w:tcPr>
          <w:p>
            <w:r>
              <w:rPr>
                <w:rFonts w:ascii="Times New Roman" w:hAnsi="Times New Roman"/>
                <w:sz w:val="20"/>
              </w:rPr>
              <w:t>mehrere Umfangsverfahren, kommissarische Sitzungsleitung, Beweisantragsmanagement</w:t>
            </w:r>
          </w:p>
        </w:tc>
        <w:tc>
          <w:tcPr>
            <w:tcW w:type="dxa" w:w="2268"/>
          </w:tcPr>
          <w:p>
            <w:r>
              <w:rPr>
                <w:rFonts w:ascii="Times New Roman" w:hAnsi="Times New Roman"/>
                <w:sz w:val="20"/>
              </w:rPr>
              <w:t>richterliche Tätigkeit vor Abordnung, weniger aktuelle Sitzungspraxis</w:t>
            </w:r>
          </w:p>
        </w:tc>
        <w:tc>
          <w:tcPr>
            <w:tcW w:type="dxa" w:w="2268"/>
          </w:tcPr>
          <w:p>
            <w:r>
              <w:rPr>
                <w:rFonts w:ascii="Times New Roman" w:hAnsi="Times New Roman"/>
                <w:sz w:val="20"/>
              </w:rPr>
              <w:t>konkrete Sitzungsleitung wird als bloße Vertretung behandelt</w:t>
            </w:r>
          </w:p>
        </w:tc>
      </w:tr>
      <w:tr>
        <w:tc>
          <w:tcPr>
            <w:tcW w:type="dxa" w:w="2268"/>
          </w:tcPr>
          <w:p>
            <w:r>
              <w:rPr>
                <w:rFonts w:ascii="Times New Roman" w:hAnsi="Times New Roman"/>
                <w:sz w:val="20"/>
              </w:rPr>
              <w:t>Organisation</w:t>
            </w:r>
          </w:p>
        </w:tc>
        <w:tc>
          <w:tcPr>
            <w:tcW w:type="dxa" w:w="2268"/>
          </w:tcPr>
          <w:p>
            <w:r>
              <w:rPr>
                <w:rFonts w:ascii="Times New Roman" w:hAnsi="Times New Roman"/>
                <w:sz w:val="20"/>
              </w:rPr>
              <w:t>Geschäftsstellenkoordination, Ladungslogik, Sitzungskalender</w:t>
            </w:r>
          </w:p>
        </w:tc>
        <w:tc>
          <w:tcPr>
            <w:tcW w:type="dxa" w:w="2268"/>
          </w:tcPr>
          <w:p>
            <w:r>
              <w:rPr>
                <w:rFonts w:ascii="Times New Roman" w:hAnsi="Times New Roman"/>
                <w:sz w:val="20"/>
              </w:rPr>
              <w:t>ministerielle Projektsteuerung</w:t>
            </w:r>
          </w:p>
        </w:tc>
        <w:tc>
          <w:tcPr>
            <w:tcW w:type="dxa" w:w="2268"/>
          </w:tcPr>
          <w:p>
            <w:r>
              <w:rPr>
                <w:rFonts w:ascii="Times New Roman" w:hAnsi="Times New Roman"/>
                <w:sz w:val="20"/>
              </w:rPr>
              <w:t>verschiedene Organisationsformen werden nicht vergleichbar gemacht</w:t>
            </w:r>
          </w:p>
        </w:tc>
      </w:tr>
      <w:tr>
        <w:tc>
          <w:tcPr>
            <w:tcW w:type="dxa" w:w="2268"/>
          </w:tcPr>
          <w:p>
            <w:r>
              <w:rPr>
                <w:rFonts w:ascii="Times New Roman" w:hAnsi="Times New Roman"/>
                <w:sz w:val="20"/>
              </w:rPr>
              <w:t>Leitung</w:t>
            </w:r>
          </w:p>
        </w:tc>
        <w:tc>
          <w:tcPr>
            <w:tcW w:type="dxa" w:w="2268"/>
          </w:tcPr>
          <w:p>
            <w:r>
              <w:rPr>
                <w:rFonts w:ascii="Times New Roman" w:hAnsi="Times New Roman"/>
                <w:sz w:val="20"/>
              </w:rPr>
              <w:t>tatsächliche Leitung in Hauptverhandlungen</w:t>
            </w:r>
          </w:p>
        </w:tc>
        <w:tc>
          <w:tcPr>
            <w:tcW w:type="dxa" w:w="2268"/>
          </w:tcPr>
          <w:p>
            <w:r>
              <w:rPr>
                <w:rFonts w:ascii="Times New Roman" w:hAnsi="Times New Roman"/>
                <w:sz w:val="20"/>
              </w:rPr>
              <w:t>Projektleitung im Ministerium</w:t>
            </w:r>
          </w:p>
        </w:tc>
        <w:tc>
          <w:tcPr>
            <w:tcW w:type="dxa" w:w="2268"/>
          </w:tcPr>
          <w:p>
            <w:r>
              <w:rPr>
                <w:rFonts w:ascii="Times New Roman" w:hAnsi="Times New Roman"/>
                <w:sz w:val="20"/>
              </w:rPr>
              <w:t>ministerielle Leitung wird höher etikettiert, ohne Bezug zur Kammerleitung</w:t>
            </w:r>
          </w:p>
        </w:tc>
      </w:tr>
      <w:tr>
        <w:tc>
          <w:tcPr>
            <w:tcW w:type="dxa" w:w="2268"/>
          </w:tcPr>
          <w:p>
            <w:r>
              <w:rPr>
                <w:rFonts w:ascii="Times New Roman" w:hAnsi="Times New Roman"/>
                <w:sz w:val="20"/>
              </w:rPr>
              <w:t>Kommunikation</w:t>
            </w:r>
          </w:p>
        </w:tc>
        <w:tc>
          <w:tcPr>
            <w:tcW w:type="dxa" w:w="2268"/>
          </w:tcPr>
          <w:p>
            <w:r>
              <w:rPr>
                <w:rFonts w:ascii="Times New Roman" w:hAnsi="Times New Roman"/>
                <w:sz w:val="20"/>
              </w:rPr>
              <w:t>klare, fachlich präzise Gesprächsführung</w:t>
            </w:r>
          </w:p>
        </w:tc>
        <w:tc>
          <w:tcPr>
            <w:tcW w:type="dxa" w:w="2268"/>
          </w:tcPr>
          <w:p>
            <w:r>
              <w:rPr>
                <w:rFonts w:ascii="Times New Roman" w:hAnsi="Times New Roman"/>
                <w:sz w:val="20"/>
              </w:rPr>
              <w:t>ruhig, vermittelnd</w:t>
            </w:r>
          </w:p>
        </w:tc>
        <w:tc>
          <w:tcPr>
            <w:tcW w:type="dxa" w:w="2268"/>
          </w:tcPr>
          <w:p>
            <w:r>
              <w:rPr>
                <w:rFonts w:ascii="Times New Roman" w:hAnsi="Times New Roman"/>
                <w:sz w:val="20"/>
              </w:rPr>
              <w:t>„pointiert“ wird negativ gelesen, ohne Kontext Umfangsverfahren</w:t>
            </w:r>
          </w:p>
        </w:tc>
      </w:tr>
      <w:tr>
        <w:tc>
          <w:tcPr>
            <w:tcW w:type="dxa" w:w="2268"/>
          </w:tcPr>
          <w:p>
            <w:r>
              <w:rPr>
                <w:rFonts w:ascii="Times New Roman" w:hAnsi="Times New Roman"/>
                <w:sz w:val="20"/>
              </w:rPr>
              <w:t>Belastbarkeit</w:t>
            </w:r>
          </w:p>
        </w:tc>
        <w:tc>
          <w:tcPr>
            <w:tcW w:type="dxa" w:w="2268"/>
          </w:tcPr>
          <w:p>
            <w:r>
              <w:rPr>
                <w:rFonts w:ascii="Times New Roman" w:hAnsi="Times New Roman"/>
                <w:sz w:val="20"/>
              </w:rPr>
              <w:t>hohe Sitzungsdichte, Familienbelastung, Nebentätigkeit geordnet</w:t>
            </w:r>
          </w:p>
        </w:tc>
        <w:tc>
          <w:tcPr>
            <w:tcW w:type="dxa" w:w="2268"/>
          </w:tcPr>
          <w:p>
            <w:r>
              <w:rPr>
                <w:rFonts w:ascii="Times New Roman" w:hAnsi="Times New Roman"/>
                <w:sz w:val="20"/>
              </w:rPr>
              <w:t>Abordnung und Referatsarbeit</w:t>
            </w:r>
          </w:p>
        </w:tc>
        <w:tc>
          <w:tcPr>
            <w:tcW w:type="dxa" w:w="2268"/>
          </w:tcPr>
          <w:p>
            <w:r>
              <w:rPr>
                <w:rFonts w:ascii="Times New Roman" w:hAnsi="Times New Roman"/>
                <w:sz w:val="20"/>
              </w:rPr>
              <w:t>Belastung der Antragstellerin wird nicht als Leistung anerkannt</w:t>
            </w:r>
          </w:p>
        </w:tc>
      </w:tr>
      <w:tr>
        <w:tc>
          <w:tcPr>
            <w:tcW w:type="dxa" w:w="2268"/>
          </w:tcPr>
          <w:p>
            <w:r>
              <w:rPr>
                <w:rFonts w:ascii="Times New Roman" w:hAnsi="Times New Roman"/>
                <w:sz w:val="20"/>
              </w:rPr>
              <w:t>Justizkommunikation</w:t>
            </w:r>
          </w:p>
        </w:tc>
        <w:tc>
          <w:tcPr>
            <w:tcW w:type="dxa" w:w="2268"/>
          </w:tcPr>
          <w:p>
            <w:r>
              <w:rPr>
                <w:rFonts w:ascii="Times New Roman" w:hAnsi="Times New Roman"/>
                <w:sz w:val="20"/>
              </w:rPr>
              <w:t>Fachvortrag, Fortbildung, strukturierte Außenwirkung</w:t>
            </w:r>
          </w:p>
        </w:tc>
        <w:tc>
          <w:tcPr>
            <w:tcW w:type="dxa" w:w="2268"/>
          </w:tcPr>
          <w:p>
            <w:r>
              <w:rPr>
                <w:rFonts w:ascii="Times New Roman" w:hAnsi="Times New Roman"/>
                <w:sz w:val="20"/>
              </w:rPr>
              <w:t>ministerielle Kommunikation</w:t>
            </w:r>
          </w:p>
        </w:tc>
        <w:tc>
          <w:tcPr>
            <w:tcW w:type="dxa" w:w="2268"/>
          </w:tcPr>
          <w:p>
            <w:r>
              <w:rPr>
                <w:rFonts w:ascii="Times New Roman" w:hAnsi="Times New Roman"/>
                <w:sz w:val="20"/>
              </w:rPr>
              <w:t>Nebentätigkeit erscheint als weicher Malus</w:t>
            </w:r>
          </w:p>
        </w:tc>
      </w:tr>
    </w:tbl>
    <w:p>
      <w:pPr>
        <w:pStyle w:val="Heading2"/>
      </w:pPr>
      <w:r>
        <w:rPr>
          <w:rFonts w:ascii="Times New Roman" w:hAnsi="Times New Roman"/>
        </w:rPr>
        <w:t>Binnendifferenzierung bei gleicher Gesamtnote</w:t>
      </w:r>
    </w:p>
    <w:p>
      <w:pPr>
        <w:jc w:val="left"/>
      </w:pPr>
      <w:r>
        <w:t>Wenn beide Bewerbungen dieselbe Gesamtnote tragen, muss die Auswahl tiefer gehen. Das bedeutet nicht, dass jedes Einzelmerkmal mathematisch zu addieren wäre. Es bedeutet aber, dass der Dienstherr sichtbar machen muss, welche Einzelmerkmale für das konkrete Amt den Ausschlag geben und warum. Gerade bei Vorsitzendenstellen ist die bloße Gesamtnote häufig zu grob.</w:t>
      </w:r>
    </w:p>
    <w:p>
      <w:pPr>
        <w:pStyle w:val="Heading2"/>
      </w:pPr>
      <w:r>
        <w:rPr>
          <w:rFonts w:ascii="Times New Roman" w:hAnsi="Times New Roman"/>
        </w:rPr>
        <w:t>Konstitutives oder beschreibendes Anforderungsprofil</w:t>
      </w:r>
    </w:p>
    <w:p>
      <w:pPr>
        <w:jc w:val="left"/>
      </w:pPr>
      <w:r>
        <w:t>Die Ausschreibung nennt Leitung eines Strafspruchkörpers, Verfahrensförderung, Öffentlichkeitsbezug und gerichtsinterne Organisation. Wenn diese Elemente konstitutiv sein sollen, muss geprüft werden, ob beide Bewerbungen die Anforderungen erfüllen. Wenn sie nur beschreibend sind, dürfen sie nicht später als verdeckte Ausschluss- oder Vorrangkriterien verwendet werden. Der Auswahlvermerk bleibt hier unklar.</w:t>
      </w:r>
    </w:p>
    <w:p>
      <w:pPr>
        <w:pStyle w:val="Heading2"/>
      </w:pPr>
      <w:r>
        <w:rPr>
          <w:rFonts w:ascii="Times New Roman" w:hAnsi="Times New Roman"/>
        </w:rPr>
        <w:t>Typische Gegenargumente des Dienstherrn</w:t>
      </w:r>
    </w:p>
    <w:p>
      <w:pPr>
        <w:jc w:val="left"/>
      </w:pPr>
      <w:r>
        <w:t>Der Dienstherr wird sagen, das Gericht dürfe keine eigene Auswahl treffen. Das stimmt. Daraus folgt aber nicht, dass unklare Gewichtungen unangreifbar sind. Weiter wird der Dienstherr sagen, das Auswahlgespräch dürfe herangezogen werden. Auch das stimmt. Daraus folgt aber nicht, dass nicht dokumentierte Gesprächseindrücke eine gleichwertige Beurteilung überlagern dürfen.</w:t>
      </w:r>
    </w:p>
    <w:p>
      <w:pPr>
        <w:pStyle w:val="Heading2"/>
      </w:pPr>
      <w:r>
        <w:rPr>
          <w:rFonts w:ascii="Times New Roman" w:hAnsi="Times New Roman"/>
        </w:rPr>
        <w:t>Arbeitsfazits</w:t>
      </w:r>
    </w:p>
    <w:p>
      <w:pPr>
        <w:jc w:val="left"/>
      </w:pPr>
      <w:r>
        <w:t>Die Kanzlei greift nicht den Konkurrenten persönlich an. Sie greift die Verfahrenslogik an: fehlende Vollständigkeit, unklare Maßstäbe, asymmetrische Bewertung und unzureichende Dokumentation.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