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Gleichstellung, Personalrat und Rollenbild in der Auswahlentscheidung</w:t>
      </w:r>
    </w:p>
    <w:p>
      <w:pPr>
        <w:pStyle w:val="Heading2"/>
      </w:pPr>
      <w:r>
        <w:rPr>
          <w:rFonts w:ascii="Times New Roman" w:hAnsi="Times New Roman"/>
        </w:rPr>
        <w:t>Anlass</w:t>
      </w:r>
    </w:p>
    <w:p>
      <w:pPr>
        <w:jc w:val="left"/>
      </w:pPr>
      <w:r>
        <w:t>In den Gesprächsnotizen tauchen Formulierungen auf, die nicht offen diskriminierend sind, aber in Auswahlverfahren sensibel wirken: „zu pointiert“, „streitbar“, „sehr fachlich“, „weniger vermittelnd“, „hohe Sichtbarkeit“. Solche Begriffe können bei jeder Person verwendet werden. In der konkreten Akte muss jedoch geprüft werden, ob sie ein Rollenbild transportieren, das Bewerberinnen für Leitungsämter strukturell benachteiligt.</w:t>
      </w:r>
    </w:p>
    <w:p>
      <w:pPr>
        <w:pStyle w:val="Heading2"/>
      </w:pPr>
      <w:r>
        <w:rPr>
          <w:rFonts w:ascii="Times New Roman" w:hAnsi="Times New Roman"/>
        </w:rPr>
        <w:t>Gleichstellungsprüfung</w:t>
      </w:r>
    </w:p>
    <w:p>
      <w:pPr>
        <w:jc w:val="left"/>
      </w:pPr>
      <w:r>
        <w:t>Die Gleichstellungsbeauftragte war beteiligt, erhielt aber nach Aktenlage nur die Endfassung des Auswahlvermerks. Nicht erkennbar ist, ob sie die Gesprächsnotizen, die Beurteilungsbeiträge und die Belastungszahlen sah. Eine Beteiligung, die nur die Endformel kennt, kann Rollenbildrisiken kaum erkennen.</w:t>
      </w:r>
    </w:p>
    <w:p>
      <w:pPr>
        <w:pStyle w:val="Heading2"/>
      </w:pPr>
      <w:r>
        <w:rPr>
          <w:rFonts w:ascii="Times New Roman" w:hAnsi="Times New Roman"/>
        </w:rPr>
        <w:t>Personalrat</w:t>
      </w:r>
    </w:p>
    <w:p>
      <w:pPr>
        <w:jc w:val="left"/>
      </w:pPr>
      <w:r>
        <w:t>Der Personalrat ist nicht die Instanz für die gerichtliche Kontrolle des Bewerbungsverfahrensanspruchs. Seine Beteiligung kann aber verfahrensrechtlich relevant sein, wenn das Landesrecht dies vorsieht oder wenn personalvertretungsrechtliche Mitwirkungsrechte berührt sind. In der Akte ist offen, ob der Personalrat nur informiert oder tatsächlich beteiligt wurde.</w:t>
      </w:r>
    </w:p>
    <w:p>
      <w:pPr>
        <w:pStyle w:val="Heading2"/>
      </w:pPr>
      <w:r>
        <w:rPr>
          <w:rFonts w:ascii="Times New Roman" w:hAnsi="Times New Roman"/>
        </w:rPr>
        <w:t>Sprachliche Analyse</w:t>
      </w:r>
    </w:p>
    <w:p>
      <w:pPr>
        <w:jc w:val="left"/>
      </w:pPr>
      <w:r>
        <w:t>Der Begriff „streitbar“ ist in einer großen Strafkammer nicht ohne Weiteres negativ. Eine Vorsitzende muss auch gegenüber Verteidigung, Staatsanwaltschaft, Sachverständigen und Öffentlichkeit standhalten. Der Begriff „vermittelnd“ ist ebenfalls nicht eindeutig. Vermittlung kann Führungsstärke sein, kann aber auch Konfliktvermeidung bedeuten. Das Auswahlgremium hätte diese Begriffe auf konkrete Situationen beziehen müssen.</w:t>
      </w:r>
    </w:p>
    <w:p>
      <w:pPr>
        <w:pStyle w:val="Heading2"/>
      </w:pPr>
      <w:r>
        <w:rPr>
          <w:rFonts w:ascii="Times New Roman" w:hAnsi="Times New Roman"/>
        </w:rPr>
        <w:t>Prozessuale Nutzung</w:t>
      </w:r>
    </w:p>
    <w:p>
      <w:pPr>
        <w:jc w:val="left"/>
      </w:pPr>
      <w:r>
        <w:t>Die Kanzlei sollte die Gleichstellungslinie vorsichtig führen. Sie ist kein Ersatz für den harten Auswahlfehler, sondern verstärkt ihn: Wenn schon die Kriterien unklar sind, dürfen unklare Persönlichkeitszuschreibungen nicht entscheidend werden. Eine aggressive Diskriminierungsbehauptung ohne ausreichende Tatsachen könnte kontraproduktiv sein.</w:t>
      </w:r>
    </w:p>
    <w:p>
      <w:pPr>
        <w:pStyle w:val="Heading2"/>
      </w:pPr>
      <w:r>
        <w:rPr>
          <w:rFonts w:ascii="Times New Roman" w:hAnsi="Times New Roman"/>
        </w:rPr>
        <w:t>Offene Fragen</w:t>
      </w:r>
    </w:p>
    <w:p>
      <w:pPr>
        <w:pStyle w:val="ListBullet"/>
      </w:pPr>
      <w:r>
        <w:t>Welche Unterlagen erhielt die Gleichstellungsbeauftragte?</w:t>
      </w:r>
    </w:p>
    <w:p>
      <w:pPr>
        <w:pStyle w:val="ListBullet"/>
      </w:pPr>
      <w:r>
        <w:t>Gibt es eine Stellungnahme oder nur einen Vermerk „beteiligt“?</w:t>
      </w:r>
    </w:p>
    <w:p>
      <w:pPr>
        <w:pStyle w:val="ListBullet"/>
      </w:pPr>
      <w:r>
        <w:t>Wurden die Gesprächsfragen vorab mit Gleichstellung oder Personalentwicklung abgestimmt?</w:t>
      </w:r>
    </w:p>
    <w:p>
      <w:pPr>
        <w:pStyle w:val="ListBullet"/>
      </w:pPr>
      <w:r>
        <w:t>Sind ähnliche Begriffe auch beim männlichen Bewerber verwendet worden?</w:t>
      </w:r>
    </w:p>
    <w:p>
      <w:pPr>
        <w:pStyle w:val="ListBullet"/>
      </w:pPr>
      <w:r>
        <w:t>Welche Rolle spielten Teilzeit- und Familienzeiten tatsächlich?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