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Amtsärztliche Untersuchungsanordnung, BEM und Fürsorgepflicht</w:t>
      </w:r>
    </w:p>
    <w:p>
      <w:pPr>
        <w:pStyle w:val="Heading2"/>
      </w:pPr>
      <w:r>
        <w:rPr>
          <w:rFonts w:ascii="Times New Roman" w:hAnsi="Times New Roman"/>
        </w:rPr>
        <w:t>Kontext</w:t>
      </w:r>
    </w:p>
    <w:p>
      <w:pPr>
        <w:jc w:val="left"/>
      </w:pPr>
      <w:r>
        <w:t>Parallel zum Auswahlverfahren wurde Dr. Mondsee wegen mehrerer krankheitsbedingter Fehlzeiten zu einer amtsärztlichen Untersuchung aufgefordert. Die Fehlzeiten stehen nach ihrer Darstellung mit einer massiven Belastung durch Umfangsverfahren, familiäre Betreuungspflichten und die unklare Beförderungssituation zusammen. Die Untersuchungsanordnung ist in der Akte auffällig knapp.</w:t>
      </w:r>
    </w:p>
    <w:p>
      <w:pPr>
        <w:pStyle w:val="Heading2"/>
      </w:pPr>
      <w:r>
        <w:rPr>
          <w:rFonts w:ascii="Times New Roman" w:hAnsi="Times New Roman"/>
        </w:rPr>
        <w:t>Rechtliche Leitfragen</w:t>
      </w:r>
    </w:p>
    <w:p>
      <w:pPr>
        <w:jc w:val="left"/>
      </w:pPr>
      <w:r>
        <w:t>Eine Untersuchungsanordnung darf nicht als Druckmittel im Auswahlstreit wirken. Sie muss Anlass, Umfang und Zweck erkennen lassen. Die betroffene Person muss wissen, welche Zweifel an der Dienstfähigkeit bestehen und welche Untersuchungen erwartet werden. Pauschale Hinweise auf „Belastung“ oder „Klärung der gesundheitlichen Eignung“ reichen häufig nicht aus, wenn sie keine konkrete Tatsachengrundlage erkennen lassen.</w:t>
      </w:r>
    </w:p>
    <w:p>
      <w:pPr>
        <w:pStyle w:val="Heading2"/>
      </w:pPr>
      <w:r>
        <w:rPr>
          <w:rFonts w:ascii="Times New Roman" w:hAnsi="Times New Roman"/>
        </w:rPr>
        <w:t>BEM-Strang</w:t>
      </w:r>
    </w:p>
    <w:p>
      <w:pPr>
        <w:jc w:val="left"/>
      </w:pPr>
      <w:r>
        <w:t>Die Dienststelle hat kein strukturiertes betriebliches Eingliederungsmanagement dokumentiert. Zwar gelten die Mechanismen je nach Status und Dienstherrn nicht immer identisch wie im Arbeitsrecht, die Fürsorgepflicht verlangt aber eine ernsthafte Prüfung, ob Dienstgestaltung, Belastungssteuerung oder Wiedereingliederung helfen. Gerade bei Richterinnen ist die richterliche Unabhängigkeit zu beachten: Entlastung darf nicht in unzulässige Steuerung richterlicher Arbeit umschlagen.</w:t>
      </w:r>
    </w:p>
    <w:p>
      <w:pPr>
        <w:pStyle w:val="Heading2"/>
      </w:pPr>
      <w:r>
        <w:rPr>
          <w:rFonts w:ascii="Times New Roman" w:hAnsi="Times New Roman"/>
        </w:rPr>
        <w:t>Gesundheitsdaten</w:t>
      </w:r>
    </w:p>
    <w:p>
      <w:pPr>
        <w:jc w:val="left"/>
      </w:pPr>
      <w:r>
        <w:t>Die Kanzlei trennt Gesundheitsdaten strikt von der Auswahlakte. Im Eilverfahren wird nur vorgetragen, dass die Untersuchungsanordnung als weiterer Druckkontext existiert. Diagnosen, Therapiedetails und familiäre Belastungen werden nur dort offengelegt, wo sie erforderlich sind. Die Mandantin entscheidet nach Beratung, welche Daten in welches Verfahren gelangen.</w:t>
      </w:r>
    </w:p>
    <w:p>
      <w:pPr>
        <w:pStyle w:val="Heading2"/>
      </w:pPr>
      <w:r>
        <w:rPr>
          <w:rFonts w:ascii="Times New Roman" w:hAnsi="Times New Roman"/>
        </w:rPr>
        <w:t>Verteidigung gegen die Anordnung</w:t>
      </w:r>
    </w:p>
    <w:p>
      <w:pPr>
        <w:jc w:val="left"/>
      </w:pPr>
      <w:r>
        <w:t>Mögliche Schritte:</w:t>
      </w:r>
    </w:p>
    <w:p>
      <w:pPr>
        <w:pStyle w:val="ListNumber"/>
      </w:pPr>
      <w:r>
        <w:t>Akteneinsicht in die Gesundheits-/Fürsorgeakte verlangen.</w:t>
      </w:r>
    </w:p>
    <w:p>
      <w:pPr>
        <w:pStyle w:val="ListNumber"/>
      </w:pPr>
      <w:r>
        <w:t>Konkretisierung der Untersuchungsfragen verlangen.</w:t>
      </w:r>
    </w:p>
    <w:p>
      <w:pPr>
        <w:pStyle w:val="ListNumber"/>
      </w:pPr>
      <w:r>
        <w:t>Termin nicht eigenmächtig ignorieren, sondern rechtzeitig rechtlich reagieren.</w:t>
      </w:r>
    </w:p>
    <w:p>
      <w:pPr>
        <w:pStyle w:val="ListNumber"/>
      </w:pPr>
      <w:r>
        <w:t>Prüfen, ob Widerspruch und Eilantrag erforderlich sind.</w:t>
      </w:r>
    </w:p>
    <w:p>
      <w:pPr>
        <w:pStyle w:val="ListNumber"/>
      </w:pPr>
      <w:r>
        <w:t>Kommunikationslinie wahren: kooperationsbereit, aber nicht grenzenlos.</w:t>
      </w:r>
    </w:p>
    <w:p>
      <w:pPr>
        <w:pStyle w:val="Heading2"/>
      </w:pPr>
      <w:r>
        <w:rPr>
          <w:rFonts w:ascii="Times New Roman" w:hAnsi="Times New Roman"/>
        </w:rPr>
        <w:t>Praktischer Vermerk</w:t>
      </w:r>
    </w:p>
    <w:p>
      <w:pPr>
        <w:jc w:val="left"/>
      </w:pPr>
      <w:r>
        <w:t>Die Mandantin wirkt erschöpft, aber klar. Sie möchte nicht als dienstunfähig etikettiert werden. Das muss ernst genommen werden. Zugleich darf die Kanzlei die gesundheitliche Komponente nicht romantisieren: Wenn Dienstherr und Gericht Zweifel an der Belastbarkeit sehen, müssen wir mit konkreten Tatsachen, Arbeitsorganisation und ärztlich vertretbaren Angaben arbeiten.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