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Vollständige Chronologie 2023 bis 2026</w:t>
      </w:r>
    </w:p>
    <w:p>
      <w:pPr>
        <w:pStyle w:val="Heading2"/>
      </w:pPr>
      <w:r>
        <w:rPr>
          <w:rFonts w:ascii="Times New Roman" w:hAnsi="Times New Roman"/>
        </w:rPr>
        <w:t>2023</w:t>
      </w:r>
    </w:p>
    <w:p>
      <w:pPr>
        <w:jc w:val="left"/>
      </w:pPr>
      <w:r>
        <w:t>Im März 2023 übernimmt Dr. Mondsee erstmals umfangreiche Sitzungsvertretungen in der 8. großen Strafkammer. Im Juni 2023 wird sie in einem internen Fortbildungsprogramm für künftige Vorsitzende geführt. Im November 2023 bittet die Geschäftsstelle sie um eine strukturierte Vorlage für Umfangsverfahren, die später kammerweit verwendet wird.</w:t>
      </w:r>
    </w:p>
    <w:p>
      <w:pPr>
        <w:pStyle w:val="Heading2"/>
      </w:pPr>
      <w:r>
        <w:rPr>
          <w:rFonts w:ascii="Times New Roman" w:hAnsi="Times New Roman"/>
        </w:rPr>
        <w:t>2024</w:t>
      </w:r>
    </w:p>
    <w:p>
      <w:pPr>
        <w:jc w:val="left"/>
      </w:pPr>
      <w:r>
        <w:t>Im Januar 2024 beginnt das Verfahren „Wetterleuchten“. Der Vorsitzende erkrankt mehrfach. Dr. Mondsee übernimmt die Terminskoordination. Im April 2024 führt sie zwei Sitzungstage faktisch allein. Im Sommer 2024 wird die Belastung der Kammer im Präsidium diskutiert. Im September 2024 hält Dr. Mondsee eine interne Fortbildung zur digitalen Aktenstruktur. Im Dezember 2024 wird sie von der OLG-Präsidentin in einem Entwicklungsgespräch erwähnt.</w:t>
      </w:r>
    </w:p>
    <w:p>
      <w:pPr>
        <w:pStyle w:val="Heading2"/>
      </w:pPr>
      <w:r>
        <w:rPr>
          <w:rFonts w:ascii="Times New Roman" w:hAnsi="Times New Roman"/>
        </w:rPr>
        <w:t>2025</w:t>
      </w:r>
    </w:p>
    <w:p>
      <w:pPr>
        <w:jc w:val="left"/>
      </w:pPr>
      <w:r>
        <w:t>Im Februar 2025 beginnt „Schacht 17“. Das Verfahren entwickelt sich zu einem Belastungsfall. Die Mandantin führt eine interne Liste über Beweisanträge, Dolmetschertermine und Zeugenschutzfragen. Im Mai 2025 wird ihr zweites Kind geboren. Sie arbeitet später in Teilzeit, übernimmt aber weiterhin komplexe Aktenstrukturierung. Im November 2025 findet das Gespräch mit dem LG-Präsidenten statt, in dem er ihre Vorsitzendentauglichkeit positiv beschreibt.</w:t>
      </w:r>
    </w:p>
    <w:p>
      <w:pPr>
        <w:pStyle w:val="Heading2"/>
      </w:pPr>
      <w:r>
        <w:rPr>
          <w:rFonts w:ascii="Times New Roman" w:hAnsi="Times New Roman"/>
        </w:rPr>
        <w:t>2026</w:t>
      </w:r>
    </w:p>
    <w:p>
      <w:pPr>
        <w:jc w:val="left"/>
      </w:pPr>
      <w:r>
        <w:t>Am 04.02.2026 erscheint die Ausschreibung. Am 17.02.2026 bewirbt sich Dr. Mondsee. Am 15.05.2026 findet das Auswahlgespräch statt. Am 22.05.2026 wird der Auswahlvermerk erstellt. Am 29.05.2026 erfolgt die Präsidialratsbefassung. Am 03.06.2026 erhält Dr. Mondsee die Konkurrentenmitteilung. Ab dem 04.06.2026 beginnt die Akteneinsichtskorrespondenz. Am 10.06.2026 wird anwaltlich vollständige Akteneinsicht verlangt. Am 16.06.2026 geht eine Stillhaltezusage bis 31.07.2026 ein. Am 24.06.2026 findet eine gerichtliche Erörterung statt.</w:t>
      </w:r>
    </w:p>
    <w:p>
      <w:pPr>
        <w:pStyle w:val="Heading2"/>
      </w:pPr>
      <w:r>
        <w:rPr>
          <w:rFonts w:ascii="Times New Roman" w:hAnsi="Times New Roman"/>
        </w:rPr>
        <w:t>Bewertungsnotiz</w:t>
      </w:r>
    </w:p>
    <w:p>
      <w:pPr>
        <w:jc w:val="left"/>
      </w:pPr>
      <w:r>
        <w:t>Die Chronologie zeigt zwei parallel laufende Linien: eine sachliche Leistungslinie und eine Konfliktlinie. Die Leistungslinie spricht für eine hohe Eignung. Die Konfliktlinie entsteht aus unklarer Dokumentation, Rollenbildrisiken, Besoldungsunklarheiten und Gesundheitsdruck. Der Schriftsatz muss beide Linien zusammenhalten, ohne die Akte zu überfrachten.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