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Hauptsacheklage - Bewerbungsverfahrensanspruch</w:t>
      </w:r>
    </w:p>
    <w:p>
      <w:pPr>
        <w:pStyle w:val="Heading2"/>
      </w:pPr>
      <w:r>
        <w:rPr>
          <w:rFonts w:ascii="Times New Roman" w:hAnsi="Times New Roman"/>
        </w:rPr>
        <w:t>Klageantrag</w:t>
      </w:r>
    </w:p>
    <w:p>
      <w:pPr>
        <w:jc w:val="left"/>
      </w:pPr>
      <w:r>
        <w:t>Es wird beantragt, den Bescheid des Justizministeriums des Landes Freienbruch vom 03.06.2026 in Gestalt der Auswahlentscheidung vom 22.05.2026 aufzuheben und den Beklagten zu verpflichten, über die Bewerbung der Klägerin auf die ausgeschriebene Stelle einer Vorsitzenden Richterin am Landgericht Falkenried unter Beachtung der Rechtsauffassung des Gerichts erneut zu entscheiden.</w:t>
      </w:r>
    </w:p>
    <w:p>
      <w:pPr>
        <w:pStyle w:val="Heading2"/>
      </w:pPr>
      <w:r>
        <w:rPr>
          <w:rFonts w:ascii="Times New Roman" w:hAnsi="Times New Roman"/>
        </w:rPr>
        <w:t>Begründung</w:t>
      </w:r>
    </w:p>
    <w:p>
      <w:pPr>
        <w:jc w:val="left"/>
      </w:pPr>
      <w:r>
        <w:t>Die Klage ist zulässig und begründet. Die Klägerin ist durch die Auswahlentscheidung in ihrem Bewerbungsverfahrensanspruch verletzt. Der Anspruch vermittelt keinen Anspruch auf Ernennung, wohl aber auf eine verfahrensfehlerfreie, am Leistungsgrundsatz orientierte Auswahlentscheidung.</w:t>
      </w:r>
    </w:p>
    <w:p>
      <w:pPr>
        <w:pStyle w:val="Heading3"/>
      </w:pPr>
      <w:r>
        <w:rPr>
          <w:rFonts w:ascii="Times New Roman" w:hAnsi="Times New Roman"/>
        </w:rPr>
        <w:t>1. Tatsachliche Leistung wurde unvollständig erfasst</w:t>
      </w:r>
    </w:p>
    <w:p>
      <w:pPr>
        <w:jc w:val="left"/>
      </w:pPr>
      <w:r>
        <w:t>Die Klägerin hat in den Jahren 2024 und 2025 wiederholt Aufgaben übernommen, die für die ausgeschriebene Stelle unmittelbar prägend sind. Sie hat Umfangsverfahren vorbereitet, die Sitzungskommunikation geführt, Beweisanträge strukturiert und in mehreren Terminen faktisch die Sitzungsleitung wahrgenommen. Der Beklagte hat diese Tätigkeiten nicht als eigenständige Leitungsleistung gewertet, sondern sie formal dem damaligen Vorsitzenden zugerechnet. Das führt zu einer Verkürzung der Tatsachengrundlage.</w:t>
      </w:r>
    </w:p>
    <w:p>
      <w:pPr>
        <w:pStyle w:val="Heading3"/>
      </w:pPr>
      <w:r>
        <w:rPr>
          <w:rFonts w:ascii="Times New Roman" w:hAnsi="Times New Roman"/>
        </w:rPr>
        <w:t>2. Unklare Kriterien im Auswahlgespräch</w:t>
      </w:r>
    </w:p>
    <w:p>
      <w:pPr>
        <w:jc w:val="left"/>
      </w:pPr>
      <w:r>
        <w:t>Das Auswahlgespräch wurde nicht anhand nachvollziehbarer, vorab festgelegter Kriterien bewertet. Die später vorgelegten Gesprächsnotizen enthalten wertende Kurzformeln, die ohne Maßstab nicht überprüfbar sind. Dies betrifft insbesondere Begriffe wie „pointiert“, „streitbar“ und „weniger vermittelnd“. Bei einer Vorsitzendenstelle in einer großen Strafkammer kann eine klare, durchsetzungsfähige Kommunikation gerade positiv sein. Eine negative Bewertung setzt deshalb konkrete Tatsachen voraus.</w:t>
      </w:r>
    </w:p>
    <w:p>
      <w:pPr>
        <w:pStyle w:val="Heading3"/>
      </w:pPr>
      <w:r>
        <w:rPr>
          <w:rFonts w:ascii="Times New Roman" w:hAnsi="Times New Roman"/>
        </w:rPr>
        <w:t>3. Fehlerhafte Vergleichbarkeit</w:t>
      </w:r>
    </w:p>
    <w:p>
      <w:pPr>
        <w:jc w:val="left"/>
      </w:pPr>
      <w:r>
        <w:t>Der Beklagte hat ministerielle Projektarbeit und praktische Spruchkörperleitung nicht vergleichbar gemacht. Er hat die ministerielle Tätigkeit des Konkurrenten als Führungsnachweis qualifiziert, ohne darzulegen, welche konkreten Anforderungen der ausgeschriebenen Vorsitzendenstelle dadurch besser erfüllt werden. Demgegenüber wurden die praktischen Leitungserfahrungen der Klägerin nur als Vertretung erfasst. Die Auswahl beruht damit auf asymmetrischer Bewertungslogik.</w:t>
      </w:r>
    </w:p>
    <w:p>
      <w:pPr>
        <w:pStyle w:val="Heading3"/>
      </w:pPr>
      <w:r>
        <w:rPr>
          <w:rFonts w:ascii="Times New Roman" w:hAnsi="Times New Roman"/>
        </w:rPr>
        <w:t>4. Beteiligungsfehler</w:t>
      </w:r>
    </w:p>
    <w:p>
      <w:pPr>
        <w:jc w:val="left"/>
      </w:pPr>
      <w:r>
        <w:t>Die Beteiligung des Präsidialrats ist nicht hinreichend dokumentiert. Die Akte lässt offen, ob die vollständigen Beurteilungsbeiträge, Gesprächsbögen und Belastungszahlen vorlagen. Bei einer richterdienstrechtlichen Auswahlentscheidung darf die Beteiligung nicht auf ein bloßes Ergebnisvotum reduziert werden.</w:t>
      </w:r>
    </w:p>
    <w:p>
      <w:pPr>
        <w:pStyle w:val="Heading3"/>
      </w:pPr>
      <w:r>
        <w:rPr>
          <w:rFonts w:ascii="Times New Roman" w:hAnsi="Times New Roman"/>
        </w:rPr>
        <w:t>5. Akteneinsicht und Rechtsschutz</w:t>
      </w:r>
    </w:p>
    <w:p>
      <w:pPr>
        <w:jc w:val="left"/>
      </w:pPr>
      <w:r>
        <w:t>Der Beklagte hat der Klägerin zunächst nur eine Teilakte überlassen. Erst nach anwaltlicher Intervention wurden wesentliche Unterlagen nachgereicht. Eine Bewerberin kann ihre Rechte aber nur wahren, wenn sie die tragenden Gründe rechtzeitig erkennen kann. Nachträgliche Ergänzungen im Gerichtsverfahren ersetzen keine transparente Auswahlentscheidung.</w:t>
      </w:r>
    </w:p>
    <w:p>
      <w:pPr>
        <w:pStyle w:val="Heading2"/>
      </w:pPr>
      <w:r>
        <w:rPr>
          <w:rFonts w:ascii="Times New Roman" w:hAnsi="Times New Roman"/>
        </w:rPr>
        <w:t>Beweisangebot</w:t>
      </w:r>
    </w:p>
    <w:p>
      <w:pPr>
        <w:jc w:val="left"/>
      </w:pPr>
      <w:r>
        <w:t>Die Klägerin bietet Beweis an durch Vorlage der Personalakte, der Auswahlakte, der Geschäftsverteilungspläne, der Belastungsstatistiken, der Gesprächsnotizen, der Beurteilungsbeiträge, der Präsidialratsunterlagen sowie durch Zeugenvernehmung des Vorsitzenden Richters Dr. Degenhardt und der Geschäftstellenleiterin Frau Gertrud Kalmus.</w:t>
      </w:r>
    </w:p>
    <w:p>
      <w:pPr>
        <w:pStyle w:val="Heading2"/>
      </w:pPr>
      <w:r>
        <w:rPr>
          <w:rFonts w:ascii="Times New Roman" w:hAnsi="Times New Roman"/>
        </w:rPr>
        <w:t>Schlussbemerkung</w:t>
      </w:r>
    </w:p>
    <w:p>
      <w:pPr>
        <w:jc w:val="left"/>
      </w:pPr>
      <w:r>
        <w:t>Die Klägerin verlangt keine gerichtliche Beförderung. Sie verlangt, dass der Dienstherr die tatsächlichen Leistungen vollständig erhebt, gleiche Maßstäbe anlegt und die Entscheidung nachvollziehbar begründet. Das ist keine Ausweitung gerichtlicher Kontrolle, sondern der Kern effektiven Rechtsschutzes im Beamten- und Richterrecht.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