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Besoldungswiderspruch - Begründung</w:t>
      </w:r>
    </w:p>
    <w:p>
      <w:pPr>
        <w:pStyle w:val="Heading2"/>
      </w:pPr>
      <w:r>
        <w:rPr>
          <w:rFonts w:ascii="Times New Roman" w:hAnsi="Times New Roman"/>
        </w:rPr>
        <w:t>Gegenstand</w:t>
      </w:r>
    </w:p>
    <w:p>
      <w:pPr>
        <w:jc w:val="left"/>
      </w:pPr>
      <w:r>
        <w:t>Der Widerspruch richtet sich gegen die Stufenfestsetzung, die Berechnung familienbezogener Besoldungsbestandteile und die fehlende nachvollziehbare Anerkennung bestimmter Vordienst- und Funktionszeiten. Die Mandantin begehrt eine vollständige Überprüfung und Neubescheidung sowie Nachzahlung, soweit sich Differenzen ergeben.</w:t>
      </w:r>
    </w:p>
    <w:p>
      <w:pPr>
        <w:pStyle w:val="Heading2"/>
      </w:pPr>
      <w:r>
        <w:rPr>
          <w:rFonts w:ascii="Times New Roman" w:hAnsi="Times New Roman"/>
        </w:rPr>
        <w:t>1. Stufenfestsetzung</w:t>
      </w:r>
    </w:p>
    <w:p>
      <w:pPr>
        <w:jc w:val="left"/>
      </w:pPr>
      <w:r>
        <w:t>Die Festsetzung berücksichtigt die planmäßige richterliche Tätigkeit, lässt aber mehrere Zeiten unklar: wissenschaftliche Mitarbeit in richterlicher Nähe, Tätigkeit an der Justizakademie, kommissarische Leitung von Umfangsverfahren und Fortbildungsleistungen. Die Mandantin behauptet nicht, dass jede dieser Zeiten zwingend stufenerhöhend wirkt. Sie verlangt jedoch eine erkennbare Prüfung anhand der geltenden besoldungsrechtlichen Maßstäbe.</w:t>
      </w:r>
    </w:p>
    <w:p>
      <w:pPr>
        <w:jc w:val="left"/>
      </w:pPr>
      <w:r>
        <w:t>Die bisherige Besoldungsakte enthält hierzu nur eine Ergebniszeile. Es fehlt eine Subsumtion. Bei komplexen Berufsbiografien genügt dies nicht. Die Bezügestelle muss erkennen lassen, welche Zeiten sie warum anerkennt, teilweise anerkennt oder ablehnt.</w:t>
      </w:r>
    </w:p>
    <w:p>
      <w:pPr>
        <w:pStyle w:val="Heading2"/>
      </w:pPr>
      <w:r>
        <w:rPr>
          <w:rFonts w:ascii="Times New Roman" w:hAnsi="Times New Roman"/>
        </w:rPr>
        <w:t>2. Familienzuschlag</w:t>
      </w:r>
    </w:p>
    <w:p>
      <w:pPr>
        <w:jc w:val="left"/>
      </w:pPr>
      <w:r>
        <w:t>Die Familienzuschlagsberechnung ist widersprüchlich. In einzelnen Mitteilungen wird nur ein Kind berücksichtigt, obwohl die Mandantin die Geburt des zweiten Kindes elektronisch angezeigt hat. Eine spätere Korrektur ist nicht vollständig rückgerechnet. Zudem fehlt eine Erklärung, ob und in welchem Umfang Verzinsung oder Ausgleichsansprüche zu prüfen sind.</w:t>
      </w:r>
    </w:p>
    <w:p>
      <w:pPr>
        <w:pStyle w:val="Heading2"/>
      </w:pPr>
      <w:r>
        <w:rPr>
          <w:rFonts w:ascii="Times New Roman" w:hAnsi="Times New Roman"/>
        </w:rPr>
        <w:t>3. Zusammenhang mit R2-Verfahren</w:t>
      </w:r>
    </w:p>
    <w:p>
      <w:pPr>
        <w:jc w:val="left"/>
      </w:pPr>
      <w:r>
        <w:t>Die Bewerbungs- und Besoldungsverfahren sind formal getrennt. Für die Schadens- und Nachzahlungsprüfung ist aber relevant, ab wann bei fehlerfreier Auswahlentscheidung eine höherwertige Besoldung möglich gewesen wäre. Die Mandantin hält deshalb vorsorglich alle Differenzbeträge offen, ohne damit eine automatische Beförderung zu behaupten.</w:t>
      </w:r>
    </w:p>
    <w:p>
      <w:pPr>
        <w:pStyle w:val="Heading2"/>
      </w:pPr>
      <w:r>
        <w:rPr>
          <w:rFonts w:ascii="Times New Roman" w:hAnsi="Times New Roman"/>
        </w:rPr>
        <w:t>4. Nachweise</w:t>
      </w:r>
    </w:p>
    <w:p>
      <w:pPr>
        <w:jc w:val="left"/>
      </w:pPr>
      <w:r>
        <w:t>Beigefügt werden Bezügemitteilungen, Geburtsnachweise in geschwärzter Form, Portalbestätigungen, Dienstzeitbescheinigungen und eine tabellarische Gegenüberstellung. Weitere Unterlagen werden nachgereicht, sobald die Dienststelle die vollständige Besoldungsakte übermittelt.</w:t>
      </w:r>
    </w:p>
    <w:p>
      <w:pPr>
        <w:pStyle w:val="Heading2"/>
      </w:pPr>
      <w:r>
        <w:rPr>
          <w:rFonts w:ascii="Times New Roman" w:hAnsi="Times New Roman"/>
        </w:rPr>
        <w:t>5. Antrag</w:t>
      </w:r>
    </w:p>
    <w:p>
      <w:pPr>
        <w:jc w:val="left"/>
      </w:pPr>
      <w:r>
        <w:t>Die Besoldungsstelle wird gebeten,</w:t>
      </w:r>
    </w:p>
    <w:p>
      <w:pPr>
        <w:pStyle w:val="ListNumber"/>
      </w:pPr>
      <w:r>
        <w:t>die Stufenfestsetzung vollständig neu zu begründen,</w:t>
      </w:r>
    </w:p>
    <w:p>
      <w:pPr>
        <w:pStyle w:val="ListNumber"/>
      </w:pPr>
      <w:r>
        <w:t>die familienbezogenen Bestandteile rückwirkend zu prüfen,</w:t>
      </w:r>
    </w:p>
    <w:p>
      <w:pPr>
        <w:pStyle w:val="ListNumber"/>
      </w:pPr>
      <w:r>
        <w:t>die Besoldungsakte vollständig zu übersenden,</w:t>
      </w:r>
    </w:p>
    <w:p>
      <w:pPr>
        <w:pStyle w:val="ListNumber"/>
      </w:pPr>
      <w:r>
        <w:t>Nachzahlungen zu berechnen,</w:t>
      </w:r>
    </w:p>
    <w:p>
      <w:pPr>
        <w:pStyle w:val="ListNumber"/>
      </w:pPr>
      <w:r>
        <w:t>vorsorglich sämtliche offenen Zeiträume verjährungs- und bestandskraftsicher zu behandeln.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