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Risikoanalyse Entscheidungsszenarien</w:t>
      </w:r>
    </w:p>
    <w:p>
      <w:pPr>
        <w:pStyle w:val="Heading2"/>
      </w:pPr>
      <w:r>
        <w:rPr>
          <w:rFonts w:ascii="Times New Roman" w:hAnsi="Times New Roman"/>
        </w:rPr>
        <w:t>Szenario 1: Voller Erfolg im Eilverfahren</w:t>
      </w:r>
    </w:p>
    <w:p>
      <w:pPr>
        <w:jc w:val="left"/>
      </w:pPr>
      <w:r>
        <w:t>Das Gericht untersagt die Besetzung bis zur erneuten Entscheidung. Wahrscheinlichkeit nach Aktenlage: realistisch, wenn die Gesprächsnotizen und Beurteilungsbeiträge als entscheidungserheblich bewertet werden. Folge: Ministerium muss neu entscheiden, möglicherweise unter besserer Dokumentation. Risiko: Es kann erneut zugunsten des Konkurrenten entscheiden.</w:t>
      </w:r>
    </w:p>
    <w:p>
      <w:pPr>
        <w:pStyle w:val="Heading2"/>
      </w:pPr>
      <w:r>
        <w:rPr>
          <w:rFonts w:ascii="Times New Roman" w:hAnsi="Times New Roman"/>
        </w:rPr>
        <w:t>Szenario 2: Teilerfolg nur Akteneinsicht</w:t>
      </w:r>
    </w:p>
    <w:p>
      <w:pPr>
        <w:jc w:val="left"/>
      </w:pPr>
      <w:r>
        <w:t>Das Gericht ordnet faktisch nur weitere Akteneinsicht und kurze Stillhaltung an. Wahrscheinlichkeit: möglich, wenn das Gericht die Auswahl noch nicht als fehlerhaft ansehen will. Folge: Zeitgewinn, aber kein sicherer Schutz. Dann muss sehr schnell nachgeschärft werden.</w:t>
      </w:r>
    </w:p>
    <w:p>
      <w:pPr>
        <w:pStyle w:val="Heading2"/>
      </w:pPr>
      <w:r>
        <w:rPr>
          <w:rFonts w:ascii="Times New Roman" w:hAnsi="Times New Roman"/>
        </w:rPr>
        <w:t>Szenario 3: Ablehnung</w:t>
      </w:r>
    </w:p>
    <w:p>
      <w:pPr>
        <w:jc w:val="left"/>
      </w:pPr>
      <w:r>
        <w:t>Das Gericht hält die Auswahlentscheidung für vertretbar. Wahrscheinlichkeit: nicht ausgeschlossen, weil Dienstherrn Spielräume zukommen. Folge: Beschwerde binnen kurzer Frist. Parallel muss die Ernennung überwacht werden.</w:t>
      </w:r>
    </w:p>
    <w:p>
      <w:pPr>
        <w:pStyle w:val="Heading2"/>
      </w:pPr>
      <w:r>
        <w:rPr>
          <w:rFonts w:ascii="Times New Roman" w:hAnsi="Times New Roman"/>
        </w:rPr>
        <w:t>Szenario 4: Vergleich</w:t>
      </w:r>
    </w:p>
    <w:p>
      <w:pPr>
        <w:jc w:val="left"/>
      </w:pPr>
      <w:r>
        <w:t>Das Ministerium sagt Neubescheidung und Stillhaltung zu. Wahrscheinlichkeit: mittel, wenn das Gericht Druck signalisiert. Vorteil: weniger Gesichtsverlust, schnellere Aktenkorrektur. Nachteil: keine gerichtliche Klärung, Gefahr informeller Verwässerung.</w:t>
      </w:r>
    </w:p>
    <w:p>
      <w:pPr>
        <w:pStyle w:val="Heading2"/>
      </w:pPr>
      <w:r>
        <w:rPr>
          <w:rFonts w:ascii="Times New Roman" w:hAnsi="Times New Roman"/>
        </w:rPr>
        <w:t>Szenario 5: Spätere Schadensersatzlinie</w:t>
      </w:r>
    </w:p>
    <w:p>
      <w:pPr>
        <w:jc w:val="left"/>
      </w:pPr>
      <w:r>
        <w:t>Falls die Stelle besetzt wird und sich später Fehler zeigen, kommt eine Schadensersatzprüfung in Betracht. Diese ist beweis- und kausalitätsintensiv. Sie ersetzt nicht den Eilrechtsschutz und muss schon jetzt durch Dokumentation vorbereitet werden.</w:t>
      </w:r>
    </w:p>
    <w:p>
      <w:pPr>
        <w:pStyle w:val="Heading2"/>
      </w:pPr>
      <w:r>
        <w:rPr>
          <w:rFonts w:ascii="Times New Roman" w:hAnsi="Times New Roman"/>
        </w:rPr>
        <w:t>Mandantenkommunikation</w:t>
      </w:r>
    </w:p>
    <w:p>
      <w:pPr>
        <w:jc w:val="left"/>
      </w:pPr>
      <w:r>
        <w:t>Die Mandantin muss verstehen, dass auch ein prozessualer Erfolg nicht automatisch die Beförderung bedeutet. Der Erfolg besteht zunächst darin, das Verfahren wieder offen zu bekommen. Das ist im Konkurrentenstreit bereits viel.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