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Neubescheidung, Vergleichspaket und Vollzugsrisiko - Langfassung</w:t>
      </w:r>
    </w:p>
    <w:p>
      <w:pPr>
        <w:pStyle w:val="Heading2"/>
      </w:pPr>
      <w:r>
        <w:rPr>
          <w:rFonts w:ascii="Times New Roman" w:hAnsi="Times New Roman"/>
        </w:rPr>
        <w:t>1. Ausgangspunkt</w:t>
      </w:r>
    </w:p>
    <w:p>
      <w:pPr>
        <w:jc w:val="left"/>
      </w:pPr>
      <w:r>
        <w:t>Der praktisch beste Weg für Dr. Mondsee ist nicht zwingend ein maximal scharfer Beschluss. Ein gerichtlicher Beschluss kann die Besetzung stoppen, aber er ersetzt keine neue Auswahlentscheidung. Der Dienstherr bleibt Herr des Auswahlverfahrens. Deshalb muss parallel zum Eilverfahren ein Paket vorbereitet werden, das dem Ministerium eine rechtlich saubere Korrektur ermöglicht, ohne dass die Sache als vollständige Niederlage verstanden wird. Das ist keine Schwäche, sondern Prozessökonomie.</w:t>
      </w:r>
    </w:p>
    <w:p>
      <w:pPr>
        <w:pStyle w:val="Heading2"/>
      </w:pPr>
      <w:r>
        <w:rPr>
          <w:rFonts w:ascii="Times New Roman" w:hAnsi="Times New Roman"/>
        </w:rPr>
        <w:t>2. Mindestbestandteile einer tragfähigen Neubescheidung</w:t>
      </w:r>
    </w:p>
    <w:p>
      <w:pPr>
        <w:jc w:val="left"/>
      </w:pPr>
      <w:r>
        <w:t>Eine Neubescheidung ist nur sinnvoll, wenn sie nicht bloß denselben Auswahlvermerk mit zwei zusätzlichen Sätzen wiederholt. Erforderlich sind mindestens fünf Elemente.</w:t>
      </w:r>
    </w:p>
    <w:p>
      <w:pPr>
        <w:jc w:val="left"/>
      </w:pPr>
      <w:r>
        <w:t>Erstens muss das Anforderungsprofil klargestellt werden. Das Ministerium muss sagen, ob die Leitung eines Strafspruchkörpers, Verfahrensförderung, Öffentlichkeitsbezug und Organisationskompetenz konstitutive Kriterien oder beschreibende Elemente sind. Wenn sie konstitutiv sind, müssen beide Bewerbungen daran gemessen werden. Wenn sie beschreibend sind, dürfen sie nicht später selektiv als verdecktes Vorrangkriterium dienen.</w:t>
      </w:r>
    </w:p>
    <w:p>
      <w:pPr>
        <w:jc w:val="left"/>
      </w:pPr>
      <w:r>
        <w:t>Zweitens müssen die dienstlichen Beurteilungen vergleichbar gemacht werden. Das bedeutet nicht, dass sie identisch aufgebaut sein müssen. Es muss aber erkennbar sein, welche Zeiträume, welche Beurteiler, welche Einzelmerkmale und welche Tatsachengrundlagen einbezogen wurden. Wenn die kommissarische Sitzungsleitung der Mandantin in einem Beurteilungsbeitrag stark erscheint, aber im Auswahlvermerk schwach, muss der Zwischenschritt erklärt werden.</w:t>
      </w:r>
    </w:p>
    <w:p>
      <w:pPr>
        <w:jc w:val="left"/>
      </w:pPr>
      <w:r>
        <w:t>Drittens muss das Auswahlgespräch eingeordnet werden. Ein Gespräch kann helfen, wenn aktuelle Eignungsaspekte nicht aus Akten ersichtlich sind. Es darf aber nicht zur frei schwebenden Charakterprüfung werden. Bei gleicher Gesamtnote kann es allenfalls ein ergänzender Baustein sein, wenn Fragen, Bewertungskriterien und Eindrücke nachvollziehbar dokumentiert sind.</w:t>
      </w:r>
    </w:p>
    <w:p>
      <w:pPr>
        <w:jc w:val="left"/>
      </w:pPr>
      <w:r>
        <w:t>Viertens muss die Beteiligung des Präsidialrats, der Gleichstellungsbeauftragten und gegebenenfalls weiterer Stellen neu geprüft werden. Die Beteiligung ist nicht nur ein Häkchen. Wer beteiligt wird, muss die entscheidungserheblichen Unterlagen kennen. Wenn die Unterlagen unvollständig waren, muss die Beteiligung wiederholt werden.</w:t>
      </w:r>
    </w:p>
    <w:p>
      <w:pPr>
        <w:jc w:val="left"/>
      </w:pPr>
      <w:r>
        <w:t>Fünftens muss das Ministerium die Folgewirkungen sauber trennen. Besoldung, amtsärztliche Untersuchung, Nebentätigkeit und Personalaktenberichtigung sind nicht Streitgegenstand der Auswahlentscheidung. Sie dürfen aber auch nicht als diffuse Schattenargumente in die Auswahl einfließen.</w:t>
      </w:r>
    </w:p>
    <w:p>
      <w:pPr>
        <w:pStyle w:val="Heading2"/>
      </w:pPr>
      <w:r>
        <w:rPr>
          <w:rFonts w:ascii="Times New Roman" w:hAnsi="Times New Roman"/>
        </w:rPr>
        <w:t>3. Vergleichsvorschlag der Antragstellerseite</w:t>
      </w:r>
    </w:p>
    <w:p>
      <w:pPr>
        <w:jc w:val="left"/>
      </w:pPr>
      <w:r>
        <w:t>Die Antragstellerin könnte folgenden Vergleich anbieten:</w:t>
      </w:r>
    </w:p>
    <w:p>
      <w:pPr>
        <w:pStyle w:val="ListNumber"/>
      </w:pPr>
      <w:r>
        <w:t>Das Ministerium hebt die Auswahlentscheidung vom 22.05.2026 intern auf und entscheidet binnen acht Wochen neu.</w:t>
      </w:r>
    </w:p>
    <w:p>
      <w:pPr>
        <w:pStyle w:val="ListNumber"/>
      </w:pPr>
      <w:r>
        <w:t>Bis zur neuen Entscheidung wird keine Ernennungsurkunde ausgehändigt.</w:t>
      </w:r>
    </w:p>
    <w:p>
      <w:pPr>
        <w:pStyle w:val="ListNumber"/>
      </w:pPr>
      <w:r>
        <w:t>Die Antragstellerin erhält vollständige Einsicht in Auswahlakte, Gesprächsbögen, Beurteilungsbeiträge, Präsidialratsunterlagen und Belastungszahlen, soweit keine Rechte Dritter entgegenstehen.</w:t>
      </w:r>
    </w:p>
    <w:p>
      <w:pPr>
        <w:pStyle w:val="ListNumber"/>
      </w:pPr>
      <w:r>
        <w:t>Die kommissarischen Sitzungsleitungen werden durch den unmittelbaren Vorsitzenden und die Geschäftsstelle in einem ergänzenden Beitrag dokumentiert.</w:t>
      </w:r>
    </w:p>
    <w:p>
      <w:pPr>
        <w:pStyle w:val="ListNumber"/>
      </w:pPr>
      <w:r>
        <w:t>Die Gleichstellungsbeauftragte erhält die vollständige neue Entscheidungsgrundlage.</w:t>
      </w:r>
    </w:p>
    <w:p>
      <w:pPr>
        <w:pStyle w:val="ListNumber"/>
      </w:pPr>
      <w:r>
        <w:t>Die Besoldungswidersprüche werden getrennt bearbeitet; das Ministerium sagt eine nachvollziehbare Begründung der Stufen- und Familienzuschlagsberechnung zu.</w:t>
      </w:r>
    </w:p>
    <w:p>
      <w:pPr>
        <w:pStyle w:val="ListNumber"/>
      </w:pPr>
      <w:r>
        <w:t>Die amtsärztliche Untersuchungsanordnung wird bis zur Klärung des konkreten Untersuchungszwecks nicht vollzogen oder jedenfalls konkretisiert.</w:t>
      </w:r>
    </w:p>
    <w:p>
      <w:pPr>
        <w:pStyle w:val="ListNumber"/>
      </w:pPr>
      <w:r>
        <w:t>Die Kosten des Eilverfahrens werden gegeneinander aufgehoben oder nach billigem Ermessen verteilt.</w:t>
      </w:r>
    </w:p>
    <w:p>
      <w:pPr>
        <w:pStyle w:val="Heading2"/>
      </w:pPr>
      <w:r>
        <w:rPr>
          <w:rFonts w:ascii="Times New Roman" w:hAnsi="Times New Roman"/>
        </w:rPr>
        <w:t>4. Was nicht akzeptiert werden sollte</w:t>
      </w:r>
    </w:p>
    <w:p>
      <w:pPr>
        <w:jc w:val="left"/>
      </w:pPr>
      <w:r>
        <w:t>Nicht akzeptiert werden sollte eine bloße mündliche Zusage, man werde „noch einmal draufsehen“. Ebenfalls nicht ausreichend ist eine Neubescheidung ohne vollständige Akteneinsicht. Problematisch wäre auch eine Erklärung, die Antragstellerin solle den Eilantrag zurücknehmen und könne sich später auf eine andere Stelle bewerben. Das würde den konkreten Bewerbungsverfahrensanspruch entwerten.</w:t>
      </w:r>
    </w:p>
    <w:p>
      <w:pPr>
        <w:pStyle w:val="Heading2"/>
      </w:pPr>
      <w:r>
        <w:rPr>
          <w:rFonts w:ascii="Times New Roman" w:hAnsi="Times New Roman"/>
        </w:rPr>
        <w:t>5. Vollzugsrisiko</w:t>
      </w:r>
    </w:p>
    <w:p>
      <w:pPr>
        <w:jc w:val="left"/>
      </w:pPr>
      <w:r>
        <w:t>Das zentrale Risiko bleibt die Ernennung des Konkurrenten. Sobald die Ernennungsurkunde ausgehändigt ist, verändert sich die Rechtsschutzlage erheblich. Deshalb muss die Kanzlei täglich kontrollieren, ob die Stillhaltung schriftlich gilt, ob sie zeitlich ausläuft und ob der Dienstherr möglicherweise eine kurzfristige Vollziehung vorbereitet. Ein freundlicher Ton mit dem Ministerium ersetzt keine Fristenkontrolle.</w:t>
      </w:r>
    </w:p>
    <w:p>
      <w:pPr>
        <w:pStyle w:val="Heading2"/>
      </w:pPr>
      <w:r>
        <w:rPr>
          <w:rFonts w:ascii="Times New Roman" w:hAnsi="Times New Roman"/>
        </w:rPr>
        <w:t>6. Kommunikationsstrategie</w:t>
      </w:r>
    </w:p>
    <w:p>
      <w:pPr>
        <w:jc w:val="left"/>
      </w:pPr>
      <w:r>
        <w:t>Die Kommunikation soll fachlich und unaufgeregt bleiben. Die Antragstellerin soll nicht als verletzte Bewerberin erscheinen, sondern als Richterin, die eine rechtsstaatlich saubere Auswahl verlangt. Gegenüber dem Gericht wird betont, dass der Dienstherr weiterhin auswählen darf. Gegenüber dem Ministerium wird betont, dass eine Neubescheidung die beste Möglichkeit ist, spätere Schadensersatz- und Personalaktenstreitigkeiten zu vermeiden.</w:t>
      </w:r>
    </w:p>
    <w:p>
      <w:pPr>
        <w:pStyle w:val="Heading2"/>
      </w:pPr>
      <w:r>
        <w:rPr>
          <w:rFonts w:ascii="Times New Roman" w:hAnsi="Times New Roman"/>
        </w:rPr>
        <w:t>7. Nebenschauplätze kontrollieren</w:t>
      </w:r>
    </w:p>
    <w:p>
      <w:pPr>
        <w:jc w:val="left"/>
      </w:pPr>
      <w:r>
        <w:t>Die Akte hat mehrere Nebenschauplätze: Besoldung, Familienzuschlag, Nebentätigkeit, Gesundheitsfürsorge, Personalaktenberichtigung. Jeder dieser Punkte ist wichtig, aber keiner darf den Konkurrentenstreit dominieren. Die Kanzlei führt deshalb eine Matrix: Welche Tatsache gehört in welches Verfahren? Welche Tatsache darf in mehreren Verfahren verwendet werden? Welche Tatsache bleibt wegen Datenschutz oder taktischem Risiko zunächst zurück?</w:t>
      </w:r>
    </w:p>
    <w:p>
      <w:pPr>
        <w:pStyle w:val="Heading2"/>
      </w:pPr>
      <w:r>
        <w:rPr>
          <w:rFonts w:ascii="Times New Roman" w:hAnsi="Times New Roman"/>
        </w:rPr>
        <w:t>8. Schlussbewertung</w:t>
      </w:r>
    </w:p>
    <w:p>
      <w:pPr>
        <w:jc w:val="left"/>
      </w:pPr>
      <w:r>
        <w:t>Die Sache ist stark, aber nicht risikolos. Stark ist sie wegen der nachträglich sichtbar gewordenen Leitungserfahrung und der schwachen Dokumentation des Auswahlgesprächs. Riskant ist sie, weil der Dienstherr Spielräume hat und der Konkurrent nicht ersichtlich ungeeignet ist. Genau deshalb muss die Argumentation präzise bleiben. Das Ziel lautet nicht Empörung, sondern eine gerichtsfeste Wiederöffnung des Auswahlverfahrens.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