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Schadensersatz- und Folgenreserve für den Fall der Ernennung</w:t>
      </w:r>
    </w:p>
    <w:p>
      <w:pPr>
        <w:pStyle w:val="Heading2"/>
      </w:pPr>
      <w:r>
        <w:rPr>
          <w:rFonts w:ascii="Times New Roman" w:hAnsi="Times New Roman"/>
        </w:rPr>
        <w:t>Anlass</w:t>
      </w:r>
    </w:p>
    <w:p>
      <w:pPr>
        <w:jc w:val="left"/>
      </w:pPr>
      <w:r>
        <w:t>Trotz Eilantrag und Stillhaltebitte muss die Kanzlei vorsorglich planen, was geschieht, wenn der Konkurrent ernannt wird oder die Stelle anderweitig vollzogen wird. Diese Reserve ist kein Ersatz für den Eilrechtsschutz. Sie verhindert aber, dass bei einem ungünstigen Verlauf Beweise, Fristen und Berechnungsgrundlagen verloren gehen.</w:t>
      </w:r>
    </w:p>
    <w:p>
      <w:pPr>
        <w:pStyle w:val="Heading2"/>
      </w:pPr>
      <w:r>
        <w:rPr>
          <w:rFonts w:ascii="Times New Roman" w:hAnsi="Times New Roman"/>
        </w:rPr>
        <w:t>1. Mögliche Anspruchslinie</w:t>
      </w:r>
    </w:p>
    <w:p>
      <w:pPr>
        <w:jc w:val="left"/>
      </w:pPr>
      <w:r>
        <w:t>Bei einer rechtswidrigen Nichtberücksichtigung kommt ein beamtenrechtlicher Schadensersatzanspruch in Betracht. Die Hürden sind hoch. Es genügt nicht, dass das Verfahren fehlerhaft war. Zu prüfen sind Pflichtverletzung, Verschulden, Schaden und Kausalität. Besonders schwierig ist die Frage, ob die Mandantin bei fehlerfreiem Verfahren voraussichtlich ausgewählt worden wäre. Deshalb muss die Akte schon jetzt so geführt werden, dass die hypothetische Auswahl plausibel rekonstruiert werden kann.</w:t>
      </w:r>
    </w:p>
    <w:p>
      <w:pPr>
        <w:pStyle w:val="Heading2"/>
      </w:pPr>
      <w:r>
        <w:rPr>
          <w:rFonts w:ascii="Times New Roman" w:hAnsi="Times New Roman"/>
        </w:rPr>
        <w:t>2. Schaden</w:t>
      </w:r>
    </w:p>
    <w:p>
      <w:pPr>
        <w:jc w:val="left"/>
      </w:pPr>
      <w:r>
        <w:t>Der Schaden kann Besoldungsdifferenzen, Versorgungsfolgen und gegebenenfalls weitere statusbezogene Nachteile betreffen. Nicht jeder Ärger und nicht jede Karriereverzögerung ist ohne Weiteres ersatzfähig. Die Kanzlei berechnet deshalb nur belastbare Differenzen und trennt finanzielle Schäden von ideellen Belastungen. Für Vergleichsgespräche kann eine vorsichtige Differenzrechnung sinnvoller sein als eine maximalistische Forderung.</w:t>
      </w:r>
    </w:p>
    <w:p>
      <w:pPr>
        <w:pStyle w:val="Heading2"/>
      </w:pPr>
      <w:r>
        <w:rPr>
          <w:rFonts w:ascii="Times New Roman" w:hAnsi="Times New Roman"/>
        </w:rPr>
        <w:t>3. Kausalität</w:t>
      </w:r>
    </w:p>
    <w:p>
      <w:pPr>
        <w:jc w:val="left"/>
      </w:pPr>
      <w:r>
        <w:t>Die Kausalität ist der heikle Punkt. Wenn der Dienstherr auch bei fehlerfreiem Verfahren den Konkurrenten hätte auswählen dürfen, scheitert eine Schadensersatzforderung. Die Kanzlei muss deshalb dokumentieren, warum die konkreten Fehler nicht nur formaler Natur waren. Entscheidend sind die nicht berücksichtigte Leitungserfahrung, die unklare Gesprächsbewertung und die möglicherweise unvollständige Beteiligung des Präsidialrats.</w:t>
      </w:r>
    </w:p>
    <w:p>
      <w:pPr>
        <w:pStyle w:val="Heading2"/>
      </w:pPr>
      <w:r>
        <w:rPr>
          <w:rFonts w:ascii="Times New Roman" w:hAnsi="Times New Roman"/>
        </w:rPr>
        <w:t>4. Verschulden</w:t>
      </w:r>
    </w:p>
    <w:p>
      <w:pPr>
        <w:jc w:val="left"/>
      </w:pPr>
      <w:r>
        <w:t>Der Dienstherr kann sich nicht ohne Weiteres darauf zurückziehen, Personalentscheidungen seien schwierig. Wenn Akten unvollständig geführt, Kriterien nicht dokumentiert oder Beteiligungsunterlagen verkürzt werden, kann Verschulden naheliegen. Gleichwohl sollte die Kanzlei hier nicht zu früh eskalieren. Der Vorwurf muss aus der Akte folgen, nicht aus Empörung.</w:t>
      </w:r>
    </w:p>
    <w:p>
      <w:pPr>
        <w:pStyle w:val="Heading2"/>
      </w:pPr>
      <w:r>
        <w:rPr>
          <w:rFonts w:ascii="Times New Roman" w:hAnsi="Times New Roman"/>
        </w:rPr>
        <w:t>5. Beweise sichern</w:t>
      </w:r>
    </w:p>
    <w:p>
      <w:pPr>
        <w:jc w:val="left"/>
      </w:pPr>
      <w:r>
        <w:t>Zu sichern sind:</w:t>
      </w:r>
    </w:p>
    <w:p>
      <w:pPr>
        <w:pStyle w:val="ListBullet"/>
      </w:pPr>
      <w:r>
        <w:t>vollständige Auswahlakte,</w:t>
      </w:r>
    </w:p>
    <w:p>
      <w:pPr>
        <w:pStyle w:val="ListBullet"/>
      </w:pPr>
      <w:r>
        <w:t>ursprüngliche und nachgereichte Gesprächsnotizen,</w:t>
      </w:r>
    </w:p>
    <w:p>
      <w:pPr>
        <w:pStyle w:val="ListBullet"/>
      </w:pPr>
      <w:r>
        <w:t>Beurteilungsbeiträge,</w:t>
      </w:r>
    </w:p>
    <w:p>
      <w:pPr>
        <w:pStyle w:val="ListBullet"/>
      </w:pPr>
      <w:r>
        <w:t>Geschäftsverteilung und Belastungszahlen,</w:t>
      </w:r>
    </w:p>
    <w:p>
      <w:pPr>
        <w:pStyle w:val="ListBullet"/>
      </w:pPr>
      <w:r>
        <w:t>Stillhaltekommunikation,</w:t>
      </w:r>
    </w:p>
    <w:p>
      <w:pPr>
        <w:pStyle w:val="ListBullet"/>
      </w:pPr>
      <w:r>
        <w:t>Nachweise über Vollzug der Ernennung,</w:t>
      </w:r>
    </w:p>
    <w:p>
      <w:pPr>
        <w:pStyle w:val="ListBullet"/>
      </w:pPr>
      <w:r>
        <w:t>Besoldungsmitteilungen,</w:t>
      </w:r>
    </w:p>
    <w:p>
      <w:pPr>
        <w:pStyle w:val="ListBullet"/>
      </w:pPr>
      <w:r>
        <w:t>spätere Auswahlentscheidungen vergleichbarer Stellen.</w:t>
      </w:r>
    </w:p>
    <w:p>
      <w:pPr>
        <w:pStyle w:val="Heading2"/>
      </w:pPr>
      <w:r>
        <w:rPr>
          <w:rFonts w:ascii="Times New Roman" w:hAnsi="Times New Roman"/>
        </w:rPr>
        <w:t>6. Taktische Bewertung</w:t>
      </w:r>
    </w:p>
    <w:p>
      <w:pPr>
        <w:jc w:val="left"/>
      </w:pPr>
      <w:r>
        <w:t>Die Schadensersatzreserve wird intern vorbereitet, aber nicht offensiv in den Vordergrund gestellt. Im Eilverfahren geht es um Rechtsschutz vor Vollzug. Eine zu frühe Schadensersatzrhetorik kann den Eindruck erzeugen, die Mandantin halte die Stelle bereits für verloren. Das wäre falsch. Primär bleibt die erneute Auswahlentscheidung.</w:t>
      </w:r>
    </w:p>
    <w:p>
      <w:pPr>
        <w:pStyle w:val="Heading2"/>
      </w:pPr>
      <w:r>
        <w:rPr>
          <w:rFonts w:ascii="Times New Roman" w:hAnsi="Times New Roman"/>
        </w:rPr>
        <w:t>7. Mandantinnenhinweis</w:t>
      </w:r>
    </w:p>
    <w:p>
      <w:pPr>
        <w:jc w:val="left"/>
      </w:pPr>
      <w:r>
        <w:t>Frau Dr. Mondsee soll wissen, dass ein späterer Schadensersatzprozess lang und belastend sein kann. Er ist eine Rückfallposition, nicht das Ziel. Das Ziel ist, die Auswahlentscheidung jetzt zu öffnen, bevor unumkehrbare Fakten entstehen.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