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Kosten, Streitwert und Vollstreckungsblatt</w:t>
      </w:r>
    </w:p>
    <w:p>
      <w:pPr>
        <w:pStyle w:val="Heading2"/>
      </w:pPr>
      <w:r>
        <w:rPr>
          <w:rFonts w:ascii="Times New Roman" w:hAnsi="Times New Roman"/>
        </w:rPr>
        <w:t>Streitwertnotiz</w:t>
      </w:r>
    </w:p>
    <w:p>
      <w:pPr>
        <w:jc w:val="left"/>
      </w:pPr>
      <w:r>
        <w:t>Für das Eilverfahren wird ein vorläufiger Streitwert anhand des beamtenrechtlichen Konkurrentenstreits angesetzt. Die Kanzlei prüft, ob der Auffangwert oder ein statusbezogener Teilwert sachgerecht ist. Die Besoldungsdifferenz wird nicht als Streitwert des Eilverfahrens behandelt, sondern nur als wirtschaftlicher Hintergrund vermerkt.</w:t>
      </w:r>
    </w:p>
    <w:p>
      <w:pPr>
        <w:pStyle w:val="Heading2"/>
      </w:pPr>
      <w:r>
        <w:rPr>
          <w:rFonts w:ascii="Times New Roman" w:hAnsi="Times New Roman"/>
        </w:rPr>
        <w:t>Kostenrisiko</w:t>
      </w:r>
    </w:p>
    <w:p>
      <w:pPr>
        <w:jc w:val="left"/>
      </w:pPr>
      <w:r>
        <w:t>Die Mandantin erhält eine klare Kostenaufstellung: Gerichtskosten, anwaltliche Gebühren, mögliche Kosten bei Beschwerde und Kostenfolge bei Vergleich. Ein Vergleich mit Kostenaufhebung kann wirtschaftlich sinnvoll sein, wenn er eine echte Neubescheidung und Stillhaltung sichert.</w:t>
      </w:r>
    </w:p>
    <w:p>
      <w:pPr>
        <w:pStyle w:val="Heading2"/>
      </w:pPr>
      <w:r>
        <w:rPr>
          <w:rFonts w:ascii="Times New Roman" w:hAnsi="Times New Roman"/>
        </w:rPr>
        <w:t>Vollstreckungs-/Kontrollpunkt</w:t>
      </w:r>
    </w:p>
    <w:p>
      <w:pPr>
        <w:jc w:val="left"/>
      </w:pPr>
      <w:r>
        <w:t>Bei stattgebendem Beschluss muss sofort geprüft werden, ob der Tenor die Ernennung wirklich sperrt. Falls der Tenor nur Akteneinsicht oder Stillhaltung bis zu einem Datum betrifft, muss die Kanzlei kontrollieren, ob eine Anschlussmaßnahme erforderlich ist. Der Beschluss wird dem Ministerium mit Bitte um schriftliche Vollzugsbestätigung übermittelt.</w:t>
      </w:r>
    </w:p>
    <w:p>
      <w:pPr>
        <w:pStyle w:val="Heading2"/>
      </w:pPr>
      <w:r>
        <w:rPr>
          <w:rFonts w:ascii="Times New Roman" w:hAnsi="Times New Roman"/>
        </w:rPr>
        <w:t>Aktenvermerk</w:t>
      </w:r>
    </w:p>
    <w:p>
      <w:pPr>
        <w:jc w:val="left"/>
      </w:pPr>
      <w:r>
        <w:t>Die Kostenfrage soll die Mandantin nicht davon abhalten, effektiven Rechtsschutz zu suchen. Sie muss aber wissen, dass Konkurrentenstreitigkeiten nicht nur juristisch, sondern auch organisatorisch und emotional aufwendig sind. Die Kanzlei hält deshalb Kosten, Fristen und Verfahrensziel in jedem Mandantinnengespräch sichtbar getrennt.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