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Bewerbung Dr. Heide Falkenberg</w:t>
      </w:r>
    </w:p>
    <w:p>
      <w:pPr>
        <w:jc w:val="left"/>
      </w:pPr>
      <w:r>
        <w:t>Dr. Falkenberg stellt ihre Leitungserfahrung an der IGS Lindenkrug heraus: Koordination der gymnasialen Oberstufe, Leitung des Krisenteams nach einem schweren Schulwegunfall, Aufbau eines Sprachlernkonzepts für neu zugewanderte Schüler, Umstellung des Vertretungsplans auf ein digitales System und Verhandlung mit dem Schulträger über Mensa- und Raumfragen.</w:t>
      </w:r>
    </w:p>
    <w:p>
      <w:pPr>
        <w:jc w:val="left"/>
      </w:pPr>
      <w:r>
        <w:t>Sie betont, dass die Schule nicht nur ein Bauprojekt brauche, sondern eine Leitung, die Kollegium, Elternschaft und Schülerschaft durch die Baustellenjahre führt. Der Satz „Die Schule ist kein Gebäude, sondern eine Arbeitsgemeinschaft“ wurde im Auswahlvermerk später als „emotional, aber wenig konkret“ bewertet. Das wirkt verkürzt, denn die Bewerbung enthält mehrere konkrete Maßnahmenpläne.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