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Beteiligung Personalrat, Gleichstellung und SBV</w:t>
      </w:r>
    </w:p>
    <w:p>
      <w:pPr>
        <w:jc w:val="left"/>
      </w:pPr>
      <w:r>
        <w:t>Die Akte enthält eine Beteiligung des Schulpersonalrats, aber nur eine knappe Rückmeldung. Die Gleichstellungsbeauftragte merkt an, die Mandantin habe als interne Bewerberin einen Teil der faktischen Leitungsarbeit bereits erbracht. Die Schwerbehindertenvertretung war wegen eines nicht die Mandantin betreffenden Bewerberhinweises beteiligt; unklar ist, ob der Hinweis später erledigt wurde.</w:t>
      </w:r>
    </w:p>
    <w:p>
      <w:pPr>
        <w:jc w:val="left"/>
      </w:pPr>
      <w:r>
        <w:t>Beteiligungsfehler führen nicht automatisch zur Auswahl der Mandantin. Sie können aber die Auswahlentscheidung beschädigen, wenn die Gremien auf unvollständiger Grundlage beteiligt wurden oder wenn ihre Einwände nicht aktenkundig verarbeitet sind.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