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VG Hannover - Entwurf</w:t>
      </w:r>
    </w:p>
    <w:p>
      <w:pPr>
        <w:jc w:val="left"/>
      </w:pPr>
      <w:r>
        <w:t>Die Antragstellerin beantragt, dem Land Niedersachsen zu untersagen, die Stelle der Schulleiterin oder des Schulleiters der IGS Lindenkrug Hannover mit dem ausgewählten Bewerber zu besetzen, bis über ihre Bewerbung unter Beachtung der Rechtsauffassung des Gerichts erneut entschieden worden ist.</w:t>
      </w:r>
    </w:p>
    <w:p>
      <w:pPr>
        <w:jc w:val="left"/>
      </w:pPr>
      <w:r>
        <w:t>Der Bewerbungsverfahrensanspruch ist verletzt, weil der Auswahlvermerk die Gleichwertigkeit der Gesamtbeurteilungen nicht tragfähig auflöst, das Anforderungsprofil nach Aktenlage nicht klar zwischen pädagogischer Leitung und Bauprojektkommunikation gewichtet und die Beteiligung des Schulträgers in einer Weise aufnimmt, die den Eindruck sachfremder Vorfestlegung erzeugt.</w:t>
      </w:r>
    </w:p>
    <w:p>
      <w:pPr>
        <w:jc w:val="left"/>
      </w:pPr>
      <w:r>
        <w:t>Die Antragstellerin begehrt keine gerichtliche Bewertung der besseren Schulleitung. Sie verlangt, dass die Auswahl nach transparenten, vorher festgelegten und dokumentierten Kriterien erfolgt. Bei identischen Gesamturteilen müssen die tragenden Einzelmerkmale ausgeschöpft und nachvollziehbar gewichtet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