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Elternrat, Schulträger und politischer Druck</w:t>
      </w:r>
    </w:p>
    <w:p>
      <w:pPr>
        <w:jc w:val="left"/>
      </w:pPr>
      <w:r>
        <w:t>Der Schulelternrat hat sich informell für Dr. Falkenberg ausgesprochen, weil sie im Jahr 2025 den Konflikt um den entfallenen bilingualen Zweig moderiert hatte. Der Schulträger bevorzugt dagegen eine Leitung, die den Neubau der Mensa ohne weitere pädagogische Sonderwünsche begleitet. Diese unterschiedlichen Erwartungen dürfen im Auswahlverfahren nicht unkontrolliert einfließen.</w:t>
      </w:r>
    </w:p>
    <w:p>
      <w:pPr>
        <w:pStyle w:val="Heading2"/>
      </w:pPr>
      <w:r>
        <w:rPr>
          <w:rFonts w:ascii="Times New Roman" w:hAnsi="Times New Roman"/>
        </w:rPr>
        <w:t>Aktenproblem</w:t>
      </w:r>
    </w:p>
    <w:p>
      <w:pPr>
        <w:jc w:val="left"/>
      </w:pPr>
      <w:r>
        <w:t>In der Behördenakte liegt ein Vermerk „politisch vermittelbar“ neben dem Namen des Konkurrenten. Unklar ist, wer diesen Vermerk erstellt hat. Falls er aus dem Schulträgergespräch stammt, muss geprüft werden, ob ein sachfremder Faktor in das Auswahlverfahren geraten ist. Eine Schulleitung muss kooperationsfähig sein, darf aber nicht nach Bequemlichkeit für den Schulträger ausgewählt werden.</w:t>
      </w:r>
    </w:p>
    <w:p>
      <w:pPr>
        <w:pStyle w:val="Heading2"/>
      </w:pPr>
      <w:r>
        <w:rPr>
          <w:rFonts w:ascii="Times New Roman" w:hAnsi="Times New Roman"/>
        </w:rPr>
        <w:t>Kanzleivermerk</w:t>
      </w:r>
    </w:p>
    <w:p>
      <w:pPr>
        <w:jc w:val="left"/>
      </w:pPr>
      <w:r>
        <w:t>Die Antragstellerin sollte nicht als Kandidatin einer Elternfraktion auftreten. Besser ist die Linie: Das Auswahlverfahren muss pädagogische, administrative und rechtliche Kriterien sauber trennen. Elternunterstützung ist kein Ernennungsanspruch, politischer Druck aber auch kein zulässiges Negativkriterium.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