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im Schulleitungskonkurrentenstreit</w:t>
      </w:r>
    </w:p>
    <w:p>
      <w:pPr>
        <w:jc w:val="left"/>
      </w:pPr>
      <w:r>
        <w:t>Die Erwiderung der Behörde bestätigt, dass Schulträgerkommunikation und Vorstellungsgespräch übergewichtet wurden, ohne dass die fachlichen Schulentwicklungsleistungen der Antragstellerin vergleichbar bewertet wurden. Die Antragstellerin macht nicht geltend, der Schulträger dürfe nicht angehört werden. Sie rügt, dass dessen politische Erwartung nicht zum versteckten Auswahlkriterium werden darf.</w:t>
      </w:r>
    </w:p>
    <w:p>
      <w:pPr>
        <w:jc w:val="left"/>
      </w:pPr>
      <w:r>
        <w:t>Die Dokumentation des Auswahlgesprächs bleibt unzureichend. Es ist nicht erkennbar, welche Fragen allen Bewerbern gestellt wurden und wie Antworten bewertet wurden. Der Hinweis, der ausgewählte Bewerber habe „souveräner“ auf Mensa- und Baufragen reagiert, ersetzt keine Bewertung pädagogischer Leitungskompetenz.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