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Amtsblatt der Stadt Augsburg Nr. 12/2024 — Auszug</w:t>
      </w:r>
    </w:p>
    <w:p>
      <w:pPr>
        <w:jc w:val="left"/>
      </w:pPr>
      <w:r>
        <w:t>```</w:t>
      </w:r>
    </w:p>
    <w:p>
      <w:pPr>
        <w:jc w:val="left"/>
      </w:pPr>
      <w:r>
        <w:t>================================================================</w:t>
      </w:r>
    </w:p>
    <w:p>
      <w:pPr>
        <w:jc w:val="left"/>
      </w:pPr>
      <w:r>
        <w:t>AMTSBLATT DER STADT AUGSBURG</w:t>
      </w:r>
    </w:p>
    <w:p>
      <w:pPr>
        <w:jc w:val="left"/>
      </w:pPr>
      <w:r>
        <w:t>Herausgeber: Oberbürgermeisterin</w:t>
      </w:r>
    </w:p>
    <w:p>
      <w:pPr>
        <w:jc w:val="left"/>
      </w:pPr>
      <w:r>
        <w:t>Nr. 12 / 2024  —  Augsburg, 14. Juni 2024</w:t>
      </w:r>
    </w:p>
    <w:p>
      <w:pPr>
        <w:jc w:val="left"/>
      </w:pPr>
      <w:r>
        <w:t>================================================================</w:t>
      </w:r>
    </w:p>
    <w:p>
      <w:pPr>
        <w:jc w:val="left"/>
      </w:pPr>
      <w:r>
        <w:t>```</w:t>
      </w:r>
    </w:p>
    <w:p>
      <w:pPr>
        <w:pStyle w:val="Heading2"/>
      </w:pPr>
      <w:r>
        <w:rPr>
          <w:rFonts w:ascii="Times New Roman" w:hAnsi="Times New Roman"/>
        </w:rPr>
        <w:t>Bekanntmachung</w:t>
      </w:r>
    </w:p>
    <w:p>
      <w:pPr>
        <w:jc w:val="left"/>
      </w:pPr>
      <w:r>
        <w:rPr>
          <w:b/>
        </w:rPr>
        <w:t>über die Inkraftsetzung des Bebauungsplans Nr. 900 mit integrierter Grünordnungsplanung "Augsburg-Bahnhofsviertel West — Quartier zwischen Halderstraße, Provinostraße und Bahntrasse" sowie der hierzu erlassenen örtlichen Bauvorschriften</w:t>
      </w:r>
    </w:p>
    <w:p>
      <w:pPr>
        <w:jc w:val="left"/>
      </w:pPr>
      <w:r>
        <w:t xml:space="preserve">Der Stadtrat der Stadt Augsburg hat in seiner Sitzung am </w:t>
      </w:r>
      <w:r>
        <w:rPr>
          <w:b/>
        </w:rPr>
        <w:t>23. Mai 2024</w:t>
      </w:r>
      <w:r>
        <w:t xml:space="preserve"> auf Grundlage der §§ 1, 2, 8, 9, 10 BauGB sowie der Art. 23 GO, Art. 81 BayBO den vorgenannten Bebauungsplan als Satzung beschlossen.</w:t>
      </w:r>
    </w:p>
    <w:p>
      <w:pPr>
        <w:pStyle w:val="Heading3"/>
      </w:pPr>
      <w:r>
        <w:rPr>
          <w:rFonts w:ascii="Times New Roman" w:hAnsi="Times New Roman"/>
        </w:rPr>
        <w:t>Räumlicher Geltungsbereich</w:t>
      </w:r>
    </w:p>
    <w:p>
      <w:pPr>
        <w:jc w:val="left"/>
      </w:pPr>
      <w:r>
        <w:t>Das Plangebiet wird begrenzt</w:t>
      </w:r>
    </w:p>
    <w:p>
      <w:pPr>
        <w:pStyle w:val="ListBullet"/>
      </w:pPr>
      <w:r>
        <w:t>im Norden durch die Halderstraße (südliche Bauflucht),</w:t>
      </w:r>
    </w:p>
    <w:p>
      <w:pPr>
        <w:pStyle w:val="ListBullet"/>
      </w:pPr>
      <w:r>
        <w:t>im Osten durch die Bahntrasse Augsburg Hbf – München (DB Netz AG, Strecke 5503),</w:t>
      </w:r>
    </w:p>
    <w:p>
      <w:pPr>
        <w:pStyle w:val="ListBullet"/>
      </w:pPr>
      <w:r>
        <w:t>im Süden durch die nördliche Bauflucht der Provinostraße,</w:t>
      </w:r>
    </w:p>
    <w:p>
      <w:pPr>
        <w:pStyle w:val="ListBullet"/>
      </w:pPr>
      <w:r>
        <w:t>im Westen durch die Riedingerstraße.</w:t>
      </w:r>
    </w:p>
    <w:p>
      <w:pPr>
        <w:jc w:val="left"/>
      </w:pPr>
      <w:r>
        <w:t xml:space="preserve">Das Plangebiet hat eine Fläche von rund </w:t>
      </w:r>
      <w:r>
        <w:rPr>
          <w:b/>
        </w:rPr>
        <w:t>6,4 ha</w:t>
      </w:r>
      <w:r>
        <w:t>. Die genaue Abgrenzung ergibt sich aus dem Bestandteil dieser Satzung gewordenen Lageplan (Blatt 1 von 3) im Maßstab 1:500.</w:t>
      </w:r>
    </w:p>
    <w:p>
      <w:pPr>
        <w:pStyle w:val="Heading3"/>
      </w:pPr>
      <w:r>
        <w:rPr>
          <w:rFonts w:ascii="Times New Roman" w:hAnsi="Times New Roman"/>
        </w:rPr>
        <w:t>Wesentlicher Inhalt der Festsetzungen</w:t>
      </w:r>
    </w:p>
    <w:p>
      <w:pPr>
        <w:pStyle w:val="ListBullet"/>
      </w:pPr>
      <w:r>
        <w:t xml:space="preserve">Art der baulichen Nutzung: </w:t>
      </w:r>
      <w:r>
        <w:rPr>
          <w:b/>
        </w:rPr>
        <w:t>Urbanes Gebiet (MU)</w:t>
      </w:r>
      <w:r>
        <w:t xml:space="preserve"> gemäß § 6a BauNVO</w:t>
      </w:r>
    </w:p>
    <w:p>
      <w:pPr>
        <w:pStyle w:val="ListBullet"/>
      </w:pPr>
      <w:r>
        <w:t>Maß der baulichen Nutzung:</w:t>
      </w:r>
    </w:p>
    <w:p>
      <w:pPr>
        <w:pStyle w:val="ListBullet"/>
      </w:pPr>
      <w:r>
        <w:t>GRZ bis 0,8 (MU 1 bis MU 3)</w:t>
      </w:r>
    </w:p>
    <w:p>
      <w:pPr>
        <w:pStyle w:val="ListBullet"/>
      </w:pPr>
      <w:r>
        <w:t>GFZ bis 4,5 (MU 1, Hochhauspunkt)</w:t>
      </w:r>
    </w:p>
    <w:p>
      <w:pPr>
        <w:pStyle w:val="ListBullet"/>
      </w:pPr>
      <w:r>
        <w:t>GFZ bis 3,0 (MU 2 / MU 3)</w:t>
      </w:r>
    </w:p>
    <w:p>
      <w:pPr>
        <w:pStyle w:val="ListBullet"/>
      </w:pPr>
      <w:r>
        <w:t>maximale Wandhöhe 28 m (entspricht acht Vollgeschossen)</w:t>
      </w:r>
    </w:p>
    <w:p>
      <w:pPr>
        <w:pStyle w:val="ListBullet"/>
      </w:pPr>
      <w:r>
        <w:rPr>
          <w:b/>
        </w:rPr>
        <w:t>ein Hochhauspunkt MU 1 mit Wandhöhe bis 42 m</w:t>
      </w:r>
      <w:r>
        <w:t xml:space="preserve"> (zwölf Vollgeschosse)</w:t>
      </w:r>
    </w:p>
    <w:p>
      <w:pPr>
        <w:pStyle w:val="ListBullet"/>
      </w:pPr>
      <w:r>
        <w:t>Bauweise: abweichende Bauweise, geschlossen mit Sondervorschriften</w:t>
      </w:r>
    </w:p>
    <w:p>
      <w:pPr>
        <w:pStyle w:val="ListBullet"/>
      </w:pPr>
      <w:r>
        <w:t>Festsetzung Hotel mit ca. 280 Zimmern im MU 2</w:t>
      </w:r>
    </w:p>
    <w:p>
      <w:pPr>
        <w:pStyle w:val="ListBullet"/>
      </w:pPr>
      <w:r>
        <w:t>Festsetzung Bürotürme rd. 36.000 m² BGF in MU 1 und MU 3</w:t>
      </w:r>
    </w:p>
    <w:p>
      <w:pPr>
        <w:pStyle w:val="ListBullet"/>
      </w:pPr>
      <w:r>
        <w:t>Festsetzung Wohnnutzung mit rd. 480 Wohneinheiten (gesamt Plangebiet)</w:t>
      </w:r>
    </w:p>
    <w:p>
      <w:pPr>
        <w:pStyle w:val="ListBullet"/>
      </w:pPr>
      <w:r>
        <w:t xml:space="preserve">Stellplatzschlüssel </w:t>
      </w:r>
      <w:r>
        <w:rPr>
          <w:b/>
        </w:rPr>
        <w:t>0,3 Stellplätze je Wohneinheit</w:t>
      </w:r>
      <w:r>
        <w:t xml:space="preserve"> abweichend von § 1 Stellplatzsatzung Augsburg 2018</w:t>
      </w:r>
    </w:p>
    <w:p>
      <w:pPr>
        <w:pStyle w:val="ListBullet"/>
      </w:pPr>
      <w:r>
        <w:t>Tiefgaragenzufahrt MU 3 von der Provinostraße aus, mittig zwischen den Hausnummern 16 und 20</w:t>
      </w:r>
    </w:p>
    <w:p>
      <w:pPr>
        <w:pStyle w:val="Heading3"/>
      </w:pPr>
      <w:r>
        <w:rPr>
          <w:rFonts w:ascii="Times New Roman" w:hAnsi="Times New Roman"/>
        </w:rPr>
        <w:t>Örtliche Bauvorschriften (Art. 81 BayBO)</w:t>
      </w:r>
    </w:p>
    <w:p>
      <w:pPr>
        <w:pStyle w:val="ListBullet"/>
      </w:pPr>
      <w:r>
        <w:t>Gestaltungsvorschriften zu Fassaden, Werbeanlagen, Dachbegrünung</w:t>
      </w:r>
    </w:p>
    <w:p>
      <w:pPr>
        <w:pStyle w:val="ListBullet"/>
      </w:pPr>
      <w:r>
        <w:t>Stellplatzsatzungs-Modifikation für das Plangebiet (Absenkung 0,3/WE)</w:t>
      </w:r>
    </w:p>
    <w:p>
      <w:pPr>
        <w:pStyle w:val="Heading3"/>
      </w:pPr>
      <w:r>
        <w:rPr>
          <w:rFonts w:ascii="Times New Roman" w:hAnsi="Times New Roman"/>
        </w:rPr>
        <w:t>Hinweise</w:t>
      </w:r>
    </w:p>
    <w:p>
      <w:pPr>
        <w:jc w:val="left"/>
      </w:pPr>
      <w:r>
        <w:t xml:space="preserve">Der Bebauungsplan tritt mit dieser Bekanntmachung </w:t>
      </w:r>
      <w:r>
        <w:rPr>
          <w:b/>
        </w:rPr>
        <w:t>in Kraft</w:t>
      </w:r>
      <w:r>
        <w:t>.</w:t>
      </w:r>
    </w:p>
    <w:p>
      <w:pPr>
        <w:jc w:val="left"/>
      </w:pPr>
      <w:r>
        <w:t>Der Bebauungsplan einschließlich Begründung und zusammenfassender Erklärung gemäß § 10a BauGB liegt im Stadtplanungsamt der Stadt Augsburg, An der Blauen Kappe 18, 86152 Augsburg, Zimmer 4.07, während der allgemeinen Dienstzeiten zur Einsicht aus. Jedermann kann die Festsetzungen einsehen und über deren Inhalt Auskunft verlangen (§ 10 Abs. 3 S. 2 BauGB).</w:t>
      </w:r>
    </w:p>
    <w:p>
      <w:pPr>
        <w:jc w:val="left"/>
      </w:pPr>
      <w:r>
        <w:t>Auf die Vorschriften des § 215 Abs. 1 BauGB (Geltendmachung der Verletzung von Verfahrens-, Form- und Abwägungsmängeln binnen eines Jahres) sowie auf die §§ 44 Abs. 3 S. 1 u. 2, 44 Abs. 4 BauGB (Entschädigung) wird hingewiesen.</w:t>
      </w:r>
    </w:p>
    <w:p>
      <w:pPr>
        <w:jc w:val="left"/>
      </w:pPr>
      <w:r>
        <w:t>Eine Verletzung</w:t>
      </w:r>
    </w:p>
    <w:p>
      <w:pPr>
        <w:pStyle w:val="ListBullet"/>
      </w:pPr>
      <w:r>
        <w:t>der in § 214 Abs. 1 S. 1 Nr. 1 bis 3 BauGB bezeichneten Verfahrens- und Formvorschriften sowie</w:t>
      </w:r>
    </w:p>
    <w:p>
      <w:pPr>
        <w:pStyle w:val="ListBullet"/>
      </w:pPr>
      <w:r>
        <w:t>der Vorschriften über die Beteiligung der Behörden und der Öffentlichkeit (§§ 3 Abs. 2, 4 Abs. 2 BauGB) und</w:t>
      </w:r>
    </w:p>
    <w:p>
      <w:pPr>
        <w:pStyle w:val="ListBullet"/>
      </w:pPr>
      <w:r>
        <w:t>der in § 214 Abs. 3 S. 2 BauGB bezeichneten Mängel des Abwägungsvorgangs</w:t>
      </w:r>
    </w:p>
    <w:p>
      <w:pPr>
        <w:jc w:val="left"/>
      </w:pPr>
      <w:r>
        <w:t>ist nach § 215 Abs. 1 S. 1 BauGB unbeachtlich, wenn sie nicht innerhalb eines Jahres seit dieser Bekanntmachung schriftlich gegenüber der Stadt Augsburg unter Darlegung des die Verletzung begründenden Sachverhalts geltend gemacht wird.</w:t>
      </w:r>
    </w:p>
    <w:p>
      <w:pPr>
        <w:jc w:val="left"/>
      </w:pPr>
      <w:r>
        <w:t>Augsburg, den 14. Juni 2024</w:t>
      </w:r>
    </w:p>
    <w:p>
      <w:pPr>
        <w:jc w:val="left"/>
      </w:pPr>
      <w:r>
        <w:t>Eva Weber</w:t>
      </w:r>
    </w:p>
    <w:p>
      <w:pPr>
        <w:jc w:val="left"/>
      </w:pPr>
      <w:r>
        <w:t>Oberbürgermeisterin</w:t>
      </w:r>
    </w:p>
    <w:p>
      <w:pPr>
        <w:jc w:val="left"/>
      </w:pPr>
      <w:r>
        <w:t>```</w:t>
      </w:r>
    </w:p>
    <w:p>
      <w:pPr>
        <w:jc w:val="left"/>
      </w:pPr>
      <w:r>
        <w:t>================================================================</w:t>
      </w:r>
    </w:p>
    <w:p>
      <w:pPr>
        <w:jc w:val="left"/>
      </w:pPr>
      <w:r>
        <w:t>Amtsblatt der Stadt Augsburg · Verantwortlich: Pressestelle</w:t>
      </w:r>
    </w:p>
    <w:p>
      <w:pPr>
        <w:jc w:val="left"/>
      </w:pPr>
      <w:r>
        <w:t>Druck: Stadtdruckerei Augsburg · Erscheint zweiwöchentlich</w:t>
      </w:r>
    </w:p>
    <w:p>
      <w:pPr>
        <w:jc w:val="left"/>
      </w:pPr>
      <w:r>
        <w:t>================================================================</w:t>
      </w:r>
    </w:p>
    <w:p>
      <w:pPr>
        <w:jc w:val="left"/>
      </w:pPr>
      <w:r>
        <w:t>```</w:t>
      </w:r>
    </w:p>
    <w:p/>
    <w:p>
      <w:pPr>
        <w:jc w:val="left"/>
      </w:pPr>
      <w:r>
        <w:rPr>
          <w:b/>
        </w:rPr>
        <w:t>Aktenvermerk (RAin Dr. Brögel):</w:t>
      </w:r>
    </w:p>
    <w:p>
      <w:pPr>
        <w:pStyle w:val="ListBullet"/>
      </w:pPr>
      <w:r>
        <w:t xml:space="preserve">Erscheinungsdatum: </w:t>
      </w:r>
      <w:r>
        <w:rPr>
          <w:b/>
        </w:rPr>
        <w:t>Freitag, 14. Juni 2024</w:t>
      </w:r>
    </w:p>
    <w:p>
      <w:pPr>
        <w:pStyle w:val="ListBullet"/>
      </w:pPr>
      <w:r>
        <w:t xml:space="preserve">Lauf der Frist § 47 Abs. 2 VwGO: </w:t>
      </w:r>
      <w:r>
        <w:rPr>
          <w:b/>
        </w:rPr>
        <w:t>Beginn 15.06.2024 (Tag nach Bekanntmachung), Ende 14.06.2025 (Samstag — § 222 ZPO, § 57 VwGO i. V. m. § 31 Abs. 3 VwVfG: Verschiebung auf Montag 16.06.2025)</w:t>
      </w:r>
    </w:p>
    <w:p>
      <w:pPr>
        <w:pStyle w:val="ListBullet"/>
      </w:pPr>
      <w:r>
        <w:t>Lauf der Frist § 215 Abs. 1 BauGB: identisch.</w:t>
      </w:r>
    </w:p>
    <w:p>
      <w:pPr>
        <w:pStyle w:val="ListBullet"/>
      </w:pPr>
      <w:r>
        <w:rPr>
          <w:b/>
        </w:rPr>
        <w:t>Eingang Amtsblatt:</w:t>
      </w:r>
      <w:r>
        <w:t xml:space="preserve"> in Kanzlei am 17.06.2024 per Postausschnittsdienst.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