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fristenkalender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Fristenkalender</w:t>
      </w:r>
    </w:p>
    <w:p>
      <w:pPr>
        <w:pStyle w:val="Heading3"/>
      </w:pPr>
      <w:r>
        <w:rPr>
          <w:rFonts w:ascii="Times New Roman" w:hAnsi="Times New Roman"/>
        </w:rPr>
        <w:t>Fristenkalender — Az. 184/2024 (B-Plan Nr. 900 Augsburg-Bahnhofsviertel West)</w:t>
      </w:r>
    </w:p>
    <w:p>
      <w:pPr>
        <w:jc w:val="left"/>
      </w:pPr>
      <w:r>
        <w:t>_Mandantin: Helene M. Vogt-Krämer · Sachbearbeitung: RAin Dr. Brögel · Stand: 30.07.2024_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/ Termin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Fristbeginn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Fristende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Normenkontrollantrag § 47 Abs. 1 Nr. 1 VwGO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47 Abs. 2 S. 1 VwGO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15.06.2024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16.06.2025 (Mo)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 — Entwurf bis 14.11.2024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Rügefrist Verfahrens- und Abwägungsmängel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215 Abs. 1 BauGB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15.06.2024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16.06.2025 (Mo)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teilweise erledigt (Einwendungen 27.03./18.09.2023, 04.02.2024)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Eilantrag § 47 Abs. 6 VwGO — Außervollzugsetzung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47 Abs. 6 VwGO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schnellstmöglich, Ziel 30.09.2024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Entwurf läuft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Bauantrag MU 3 Vorhabenträger eingereicht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02.07.2024 (Beobachtung)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akute Eilbedürftigkeit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Erwartete Baugenehmigung MU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Sept./Okt. 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 Genehmigung Eilantrag einreichen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Wiedervorlage Mandantin (Vorschuss 4.500 €)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RVG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12.07.2024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26.07.2024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22.07.2024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Akteneinsicht Stadtplanungsamt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29 VwVfG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22.07.2024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DB Entwidmung § 23 AEG (Beobachtung)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23 AEG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18.12.2023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Q4/2024 (erwartet)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 BayVGH mündliche Verhandlung (erwartet)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Q2/2026 (Schätzung)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Hinweis: § 47 Abs. 2 S. 1 VwGO und § 215 Abs. 1 BauGB enden je am 14.06.2025 (Samstag) und verschieben sich nach § 31 Abs. 3 VwVfG, § 57 VwGO i. V. m. § 222 ZPO auf Montag, 16.06.2025.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