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Vorschau: stellplatzbilanz</w:t>
      </w:r>
    </w:p>
    <w:p>
      <w:pPr>
        <w:ind w:left="567"/>
      </w:pPr>
      <w:r>
        <w:rPr>
          <w:i/>
        </w:rPr>
        <w:t>Markdown-Vorschau der gleichnamigen XLSX-Datei. Berechnungen, Formeln und Formatierung nur im Original.</w:t>
      </w:r>
    </w:p>
    <w:p>
      <w:pPr>
        <w:pStyle w:val="Heading2"/>
      </w:pPr>
      <w:r>
        <w:rPr>
          <w:rFonts w:ascii="Times New Roman" w:hAnsi="Times New Roman"/>
        </w:rPr>
        <w:t>Sheet: Stellplatzbilanz</w:t>
      </w:r>
    </w:p>
    <w:p>
      <w:pPr>
        <w:pStyle w:val="Heading3"/>
      </w:pPr>
      <w:r>
        <w:rPr>
          <w:rFonts w:ascii="Times New Roman" w:hAnsi="Times New Roman"/>
        </w:rPr>
        <w:t>Stellplatzbilanz B-Plan Nr. 900 — Vergleich Soll/Ist mit Stellplatzsatzung 2018</w:t>
      </w:r>
    </w:p>
    <w:p>
      <w:pPr>
        <w:jc w:val="left"/>
      </w:pPr>
      <w:r>
        <w:t>_Erstellt: RAin Dr. Brögel · Stand: 28.07.2024 · Grundlage: Begründung B-Plan Nr. 900, Stellplatzsatzung Augsburg 2018, Art. 47 BayBO_</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Nutzung</w:t>
            </w:r>
          </w:p>
        </w:tc>
        <w:tc>
          <w:tcPr>
            <w:tcW w:type="dxa" w:w="1814"/>
          </w:tcPr>
          <w:p>
            <w:r>
              <w:rPr>
                <w:rFonts w:ascii="Times New Roman" w:hAnsi="Times New Roman"/>
                <w:b/>
                <w:sz w:val="20"/>
              </w:rPr>
              <w:t>Einheiten</w:t>
            </w:r>
          </w:p>
        </w:tc>
        <w:tc>
          <w:tcPr>
            <w:tcW w:type="dxa" w:w="1814"/>
          </w:tcPr>
          <w:p>
            <w:r>
              <w:rPr>
                <w:rFonts w:ascii="Times New Roman" w:hAnsi="Times New Roman"/>
                <w:b/>
                <w:sz w:val="20"/>
              </w:rPr>
              <w:t>Faktor Stellplatzsatzung</w:t>
            </w:r>
          </w:p>
        </w:tc>
        <w:tc>
          <w:tcPr>
            <w:tcW w:type="dxa" w:w="1814"/>
          </w:tcPr>
          <w:p>
            <w:r>
              <w:rPr>
                <w:rFonts w:ascii="Times New Roman" w:hAnsi="Times New Roman"/>
                <w:b/>
                <w:sz w:val="20"/>
              </w:rPr>
              <w:t>Soll-Stellplätze (Satzung)</w:t>
            </w:r>
          </w:p>
        </w:tc>
        <w:tc>
          <w:tcPr>
            <w:tcW w:type="dxa" w:w="1814"/>
          </w:tcPr>
          <w:p>
            <w:r>
              <w:rPr>
                <w:rFonts w:ascii="Times New Roman" w:hAnsi="Times New Roman"/>
                <w:b/>
                <w:sz w:val="20"/>
              </w:rPr>
              <w:t>Plan-Stellplätze (0,3/WE bzw. reduziert)</w:t>
            </w:r>
          </w:p>
        </w:tc>
      </w:tr>
      <w:tr>
        <w:tc>
          <w:tcPr>
            <w:tcW w:type="dxa" w:w="1814"/>
          </w:tcPr>
          <w:p>
            <w:r>
              <w:rPr>
                <w:rFonts w:ascii="Times New Roman" w:hAnsi="Times New Roman"/>
                <w:sz w:val="20"/>
              </w:rPr>
              <w:t>Wohnen MU 1</w:t>
            </w:r>
          </w:p>
        </w:tc>
        <w:tc>
          <w:tcPr>
            <w:tcW w:type="dxa" w:w="1814"/>
          </w:tcPr>
          <w:p>
            <w:r>
              <w:rPr>
                <w:rFonts w:ascii="Times New Roman" w:hAnsi="Times New Roman"/>
                <w:sz w:val="20"/>
              </w:rPr>
              <w:t>120</w:t>
            </w:r>
          </w:p>
        </w:tc>
        <w:tc>
          <w:tcPr>
            <w:tcW w:type="dxa" w:w="1814"/>
          </w:tcPr>
          <w:p>
            <w:r>
              <w:rPr>
                <w:rFonts w:ascii="Times New Roman" w:hAnsi="Times New Roman"/>
                <w:sz w:val="20"/>
              </w:rPr>
              <w:t>1,0 / WE</w:t>
            </w:r>
          </w:p>
        </w:tc>
        <w:tc>
          <w:tcPr>
            <w:tcW w:type="dxa" w:w="1814"/>
          </w:tcPr>
          <w:p>
            <w:r>
              <w:rPr>
                <w:rFonts w:ascii="Times New Roman" w:hAnsi="Times New Roman"/>
                <w:sz w:val="20"/>
              </w:rPr>
              <w:t>120</w:t>
            </w:r>
          </w:p>
        </w:tc>
        <w:tc>
          <w:tcPr>
            <w:tcW w:type="dxa" w:w="1814"/>
          </w:tcPr>
          <w:p>
            <w:r>
              <w:rPr>
                <w:rFonts w:ascii="Times New Roman" w:hAnsi="Times New Roman"/>
                <w:sz w:val="20"/>
              </w:rPr>
              <w:t>36</w:t>
            </w:r>
          </w:p>
        </w:tc>
      </w:tr>
      <w:tr>
        <w:tc>
          <w:tcPr>
            <w:tcW w:type="dxa" w:w="1814"/>
          </w:tcPr>
          <w:p>
            <w:r>
              <w:rPr>
                <w:rFonts w:ascii="Times New Roman" w:hAnsi="Times New Roman"/>
                <w:sz w:val="20"/>
              </w:rPr>
              <w:t>Wohnen MU 2</w:t>
            </w:r>
          </w:p>
        </w:tc>
        <w:tc>
          <w:tcPr>
            <w:tcW w:type="dxa" w:w="1814"/>
          </w:tcPr>
          <w:p>
            <w:r>
              <w:rPr>
                <w:rFonts w:ascii="Times New Roman" w:hAnsi="Times New Roman"/>
                <w:sz w:val="20"/>
              </w:rPr>
              <w:t>180</w:t>
            </w:r>
          </w:p>
        </w:tc>
        <w:tc>
          <w:tcPr>
            <w:tcW w:type="dxa" w:w="1814"/>
          </w:tcPr>
          <w:p>
            <w:r>
              <w:rPr>
                <w:rFonts w:ascii="Times New Roman" w:hAnsi="Times New Roman"/>
                <w:sz w:val="20"/>
              </w:rPr>
              <w:t>1,0 / WE</w:t>
            </w:r>
          </w:p>
        </w:tc>
        <w:tc>
          <w:tcPr>
            <w:tcW w:type="dxa" w:w="1814"/>
          </w:tcPr>
          <w:p>
            <w:r>
              <w:rPr>
                <w:rFonts w:ascii="Times New Roman" w:hAnsi="Times New Roman"/>
                <w:sz w:val="20"/>
              </w:rPr>
              <w:t>180</w:t>
            </w:r>
          </w:p>
        </w:tc>
        <w:tc>
          <w:tcPr>
            <w:tcW w:type="dxa" w:w="1814"/>
          </w:tcPr>
          <w:p>
            <w:r>
              <w:rPr>
                <w:rFonts w:ascii="Times New Roman" w:hAnsi="Times New Roman"/>
                <w:sz w:val="20"/>
              </w:rPr>
              <w:t>54</w:t>
            </w:r>
          </w:p>
        </w:tc>
      </w:tr>
      <w:tr>
        <w:tc>
          <w:tcPr>
            <w:tcW w:type="dxa" w:w="1814"/>
          </w:tcPr>
          <w:p>
            <w:r>
              <w:rPr>
                <w:rFonts w:ascii="Times New Roman" w:hAnsi="Times New Roman"/>
                <w:sz w:val="20"/>
              </w:rPr>
              <w:t>Wohnen MU 3 (8 Geschosse)</w:t>
            </w:r>
          </w:p>
        </w:tc>
        <w:tc>
          <w:tcPr>
            <w:tcW w:type="dxa" w:w="1814"/>
          </w:tcPr>
          <w:p>
            <w:r>
              <w:rPr>
                <w:rFonts w:ascii="Times New Roman" w:hAnsi="Times New Roman"/>
                <w:sz w:val="20"/>
              </w:rPr>
              <w:t>180</w:t>
            </w:r>
          </w:p>
        </w:tc>
        <w:tc>
          <w:tcPr>
            <w:tcW w:type="dxa" w:w="1814"/>
          </w:tcPr>
          <w:p>
            <w:r>
              <w:rPr>
                <w:rFonts w:ascii="Times New Roman" w:hAnsi="Times New Roman"/>
                <w:sz w:val="20"/>
              </w:rPr>
              <w:t>1,0 / WE</w:t>
            </w:r>
          </w:p>
        </w:tc>
        <w:tc>
          <w:tcPr>
            <w:tcW w:type="dxa" w:w="1814"/>
          </w:tcPr>
          <w:p>
            <w:r>
              <w:rPr>
                <w:rFonts w:ascii="Times New Roman" w:hAnsi="Times New Roman"/>
                <w:sz w:val="20"/>
              </w:rPr>
              <w:t>180</w:t>
            </w:r>
          </w:p>
        </w:tc>
        <w:tc>
          <w:tcPr>
            <w:tcW w:type="dxa" w:w="1814"/>
          </w:tcPr>
          <w:p>
            <w:r>
              <w:rPr>
                <w:rFonts w:ascii="Times New Roman" w:hAnsi="Times New Roman"/>
                <w:sz w:val="20"/>
              </w:rPr>
              <w:t>54</w:t>
            </w:r>
          </w:p>
        </w:tc>
      </w:tr>
      <w:tr>
        <w:tc>
          <w:tcPr>
            <w:tcW w:type="dxa" w:w="1814"/>
          </w:tcPr>
          <w:p>
            <w:r>
              <w:rPr>
                <w:rFonts w:ascii="Times New Roman" w:hAnsi="Times New Roman"/>
                <w:sz w:val="20"/>
              </w:rPr>
              <w:t>Hotel MU 2</w:t>
            </w:r>
          </w:p>
        </w:tc>
        <w:tc>
          <w:tcPr>
            <w:tcW w:type="dxa" w:w="1814"/>
          </w:tcPr>
          <w:p>
            <w:r>
              <w:rPr>
                <w:rFonts w:ascii="Times New Roman" w:hAnsi="Times New Roman"/>
                <w:sz w:val="20"/>
              </w:rPr>
              <w:t>280</w:t>
            </w:r>
          </w:p>
        </w:tc>
        <w:tc>
          <w:tcPr>
            <w:tcW w:type="dxa" w:w="1814"/>
          </w:tcPr>
          <w:p>
            <w:r>
              <w:rPr>
                <w:rFonts w:ascii="Times New Roman" w:hAnsi="Times New Roman"/>
                <w:sz w:val="20"/>
              </w:rPr>
              <w:t>1 / 4 Zimmer</w:t>
            </w:r>
          </w:p>
        </w:tc>
        <w:tc>
          <w:tcPr>
            <w:tcW w:type="dxa" w:w="1814"/>
          </w:tcPr>
          <w:p>
            <w:r>
              <w:rPr>
                <w:rFonts w:ascii="Times New Roman" w:hAnsi="Times New Roman"/>
                <w:sz w:val="20"/>
              </w:rPr>
              <w:t>70</w:t>
            </w:r>
          </w:p>
        </w:tc>
        <w:tc>
          <w:tcPr>
            <w:tcW w:type="dxa" w:w="1814"/>
          </w:tcPr>
          <w:p>
            <w:r>
              <w:rPr>
                <w:rFonts w:ascii="Times New Roman" w:hAnsi="Times New Roman"/>
                <w:sz w:val="20"/>
              </w:rPr>
              <w:t>35</w:t>
            </w:r>
          </w:p>
        </w:tc>
      </w:tr>
      <w:tr>
        <w:tc>
          <w:tcPr>
            <w:tcW w:type="dxa" w:w="1814"/>
          </w:tcPr>
          <w:p>
            <w:r>
              <w:rPr>
                <w:rFonts w:ascii="Times New Roman" w:hAnsi="Times New Roman"/>
                <w:sz w:val="20"/>
              </w:rPr>
              <w:t>Büro MU 1 / MU 3</w:t>
            </w:r>
          </w:p>
        </w:tc>
        <w:tc>
          <w:tcPr>
            <w:tcW w:type="dxa" w:w="1814"/>
          </w:tcPr>
          <w:p>
            <w:r>
              <w:rPr>
                <w:rFonts w:ascii="Times New Roman" w:hAnsi="Times New Roman"/>
                <w:sz w:val="20"/>
              </w:rPr>
              <w:t>36.000</w:t>
            </w:r>
          </w:p>
        </w:tc>
        <w:tc>
          <w:tcPr>
            <w:tcW w:type="dxa" w:w="1814"/>
          </w:tcPr>
          <w:p>
            <w:r>
              <w:rPr>
                <w:rFonts w:ascii="Times New Roman" w:hAnsi="Times New Roman"/>
                <w:sz w:val="20"/>
              </w:rPr>
              <w:t>1 / 40 m² BGF</w:t>
            </w:r>
          </w:p>
        </w:tc>
        <w:tc>
          <w:tcPr>
            <w:tcW w:type="dxa" w:w="1814"/>
          </w:tcPr>
          <w:p>
            <w:r>
              <w:rPr>
                <w:rFonts w:ascii="Times New Roman" w:hAnsi="Times New Roman"/>
                <w:sz w:val="20"/>
              </w:rPr>
              <w:t>900</w:t>
            </w:r>
          </w:p>
        </w:tc>
        <w:tc>
          <w:tcPr>
            <w:tcW w:type="dxa" w:w="1814"/>
          </w:tcPr>
          <w:p>
            <w:r>
              <w:rPr>
                <w:rFonts w:ascii="Times New Roman" w:hAnsi="Times New Roman"/>
                <w:sz w:val="20"/>
              </w:rPr>
              <w:t>360</w:t>
            </w:r>
          </w:p>
        </w:tc>
      </w:tr>
      <w:tr>
        <w:tc>
          <w:tcPr>
            <w:tcW w:type="dxa" w:w="1814"/>
          </w:tcPr>
          <w:p>
            <w:r>
              <w:rPr>
                <w:rFonts w:ascii="Times New Roman" w:hAnsi="Times New Roman"/>
                <w:sz w:val="20"/>
              </w:rPr>
              <w:t>Gewerbe Erdgeschoss</w:t>
            </w:r>
          </w:p>
        </w:tc>
        <w:tc>
          <w:tcPr>
            <w:tcW w:type="dxa" w:w="1814"/>
          </w:tcPr>
          <w:p>
            <w:r>
              <w:rPr>
                <w:rFonts w:ascii="Times New Roman" w:hAnsi="Times New Roman"/>
                <w:sz w:val="20"/>
              </w:rPr>
              <w:t>4.500</w:t>
            </w:r>
          </w:p>
        </w:tc>
        <w:tc>
          <w:tcPr>
            <w:tcW w:type="dxa" w:w="1814"/>
          </w:tcPr>
          <w:p>
            <w:r>
              <w:rPr>
                <w:rFonts w:ascii="Times New Roman" w:hAnsi="Times New Roman"/>
                <w:sz w:val="20"/>
              </w:rPr>
              <w:t>1 / 50 m² BGF</w:t>
            </w:r>
          </w:p>
        </w:tc>
        <w:tc>
          <w:tcPr>
            <w:tcW w:type="dxa" w:w="1814"/>
          </w:tcPr>
          <w:p>
            <w:r>
              <w:rPr>
                <w:rFonts w:ascii="Times New Roman" w:hAnsi="Times New Roman"/>
                <w:sz w:val="20"/>
              </w:rPr>
              <w:t>90</w:t>
            </w:r>
          </w:p>
        </w:tc>
        <w:tc>
          <w:tcPr>
            <w:tcW w:type="dxa" w:w="1814"/>
          </w:tcPr>
          <w:p>
            <w:r>
              <w:rPr>
                <w:rFonts w:ascii="Times New Roman" w:hAnsi="Times New Roman"/>
                <w:sz w:val="20"/>
              </w:rPr>
              <w:t>45</w:t>
            </w:r>
          </w:p>
        </w:tc>
      </w:tr>
      <w:tr>
        <w:tc>
          <w:tcPr>
            <w:tcW w:type="dxa" w:w="1814"/>
          </w:tcPr>
          <w:p>
            <w:r>
              <w:rPr>
                <w:rFonts w:ascii="Times New Roman" w:hAnsi="Times New Roman"/>
                <w:sz w:val="20"/>
              </w:rPr>
              <w:t>Summe</w:t>
            </w:r>
          </w:p>
        </w:tc>
        <w:tc>
          <w:tcPr>
            <w:tcW w:type="dxa" w:w="1814"/>
          </w:tcPr>
          <w:p/>
        </w:tc>
        <w:tc>
          <w:tcPr>
            <w:tcW w:type="dxa" w:w="1814"/>
          </w:tcPr>
          <w:p/>
        </w:tc>
        <w:tc>
          <w:tcPr>
            <w:tcW w:type="dxa" w:w="1814"/>
          </w:tcPr>
          <w:p>
            <w:r>
              <w:rPr>
                <w:rFonts w:ascii="Times New Roman" w:hAnsi="Times New Roman"/>
                <w:sz w:val="20"/>
              </w:rPr>
              <w:t>1.540</w:t>
            </w:r>
          </w:p>
        </w:tc>
        <w:tc>
          <w:tcPr>
            <w:tcW w:type="dxa" w:w="1814"/>
          </w:tcPr>
          <w:p>
            <w:r>
              <w:rPr>
                <w:rFonts w:ascii="Times New Roman" w:hAnsi="Times New Roman"/>
                <w:sz w:val="20"/>
              </w:rPr>
              <w:t>584</w:t>
            </w:r>
          </w:p>
        </w:tc>
      </w:tr>
      <w:tr>
        <w:tc>
          <w:tcPr>
            <w:tcW w:type="dxa" w:w="1814"/>
          </w:tcPr>
          <w:p>
            <w:r>
              <w:rPr>
                <w:rFonts w:ascii="Times New Roman" w:hAnsi="Times New Roman"/>
                <w:sz w:val="20"/>
              </w:rPr>
              <w:t>Defizit gegenüber Satzung</w:t>
            </w:r>
          </w:p>
        </w:tc>
        <w:tc>
          <w:tcPr>
            <w:tcW w:type="dxa" w:w="1814"/>
          </w:tcPr>
          <w:p/>
        </w:tc>
        <w:tc>
          <w:tcPr>
            <w:tcW w:type="dxa" w:w="1814"/>
          </w:tcPr>
          <w:p/>
        </w:tc>
        <w:tc>
          <w:tcPr>
            <w:tcW w:type="dxa" w:w="1814"/>
          </w:tcPr>
          <w:p>
            <w:r>
              <w:rPr>
                <w:rFonts w:ascii="Times New Roman" w:hAnsi="Times New Roman"/>
                <w:sz w:val="20"/>
              </w:rPr>
              <w:t>—</w:t>
            </w:r>
          </w:p>
        </w:tc>
        <w:tc>
          <w:tcPr>
            <w:tcW w:type="dxa" w:w="1814"/>
          </w:tcPr>
          <w:p>
            <w:r>
              <w:rPr>
                <w:rFonts w:ascii="Times New Roman" w:hAnsi="Times New Roman"/>
                <w:sz w:val="20"/>
              </w:rPr>
              <w:t>− 956 Stellplätze</w:t>
            </w:r>
          </w:p>
        </w:tc>
      </w:tr>
      <w:tr>
        <w:tc>
          <w:tcPr>
            <w:tcW w:type="dxa" w:w="1814"/>
          </w:tcPr>
          <w:p>
            <w:r>
              <w:rPr>
                <w:rFonts w:ascii="Times New Roman" w:hAnsi="Times New Roman"/>
                <w:sz w:val="20"/>
              </w:rPr>
              <w:t>Rechtliche Bewertung (Kanzlei Brögel): Eine Absenkung des Schlüssels nach Art. 47 Abs. 2 S. 2 BayBO ist nur zulässig, wenn ein tragfähiges Mobilitätskonzept eine geringere Stellplatzzahl rechtfertigt. Das vorliegende Mobilitätskonzept umfasst zwei Seiten Stichpunkte vom 03.05.2024 (zwanzig Tage vor Satzungsbeschluss). Eine substantielle Auseinandersetzung fehlt. Verstoß gegen § 2 Abs. 3 BauGB i. V. m. Art. 47 Abs. 2 S. 2 BayBO.</w:t>
            </w:r>
          </w:p>
        </w:tc>
        <w:tc>
          <w:tcPr>
            <w:tcW w:type="dxa" w:w="1814"/>
          </w:tcPr>
          <w:p/>
        </w:tc>
        <w:tc>
          <w:tcPr>
            <w:tcW w:type="dxa" w:w="1814"/>
          </w:tcPr>
          <w:p/>
        </w:tc>
        <w:tc>
          <w:tcPr>
            <w:tcW w:type="dxa" w:w="1814"/>
          </w:tcPr>
          <w:p/>
        </w:tc>
        <w:tc>
          <w:tcPr>
            <w:tcW w:type="dxa" w:w="1814"/>
          </w:tcP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