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Aktenvermerk — Erstgespräch</w:t>
      </w:r>
    </w:p>
    <w:p>
      <w:pPr>
        <w:jc w:val="left"/>
      </w:pPr>
      <w:r>
        <w:rPr>
          <w:b/>
        </w:rPr>
        <w:t>Az.:</w:t>
      </w:r>
      <w:r>
        <w:t xml:space="preserve"> 184/2024 — BR/MS</w:t>
      </w:r>
    </w:p>
    <w:p>
      <w:pPr>
        <w:jc w:val="left"/>
      </w:pPr>
      <w:r>
        <w:rPr>
          <w:b/>
        </w:rPr>
        <w:t>Datum:</w:t>
      </w:r>
      <w:r>
        <w:t xml:space="preserve"> Freitag, 12. Juli 2024, 10:00 – 12:20 Uhr</w:t>
      </w:r>
    </w:p>
    <w:p>
      <w:pPr>
        <w:jc w:val="left"/>
      </w:pPr>
      <w:r>
        <w:rPr>
          <w:b/>
        </w:rPr>
        <w:t>Ort:</w:t>
      </w:r>
      <w:r>
        <w:t xml:space="preserve"> Besprechungsraum 2, Kanzlei Brögel &amp; Kollegen, Maximilianstraße 47, Augsburg</w:t>
      </w:r>
    </w:p>
    <w:p>
      <w:pPr>
        <w:jc w:val="left"/>
      </w:pPr>
      <w:r>
        <w:rPr>
          <w:b/>
        </w:rPr>
        <w:t>Teilnehmer:</w:t>
      </w:r>
      <w:r>
        <w:t xml:space="preserve"> Frau Vogt-Krämer (Mandantin), Frau RAin Dr. Brögel</w:t>
      </w:r>
    </w:p>
    <w:p>
      <w:pPr>
        <w:jc w:val="left"/>
      </w:pPr>
      <w:r>
        <w:rPr>
          <w:b/>
        </w:rPr>
        <w:t>Verfasser:</w:t>
      </w:r>
      <w:r>
        <w:t xml:space="preserve"> RAin Dr. Brögel</w:t>
      </w:r>
    </w:p>
    <w:p/>
    <w:p>
      <w:pPr>
        <w:pStyle w:val="Heading2"/>
      </w:pPr>
      <w:r>
        <w:rPr>
          <w:rFonts w:ascii="Times New Roman" w:hAnsi="Times New Roman"/>
        </w:rPr>
        <w:t>1. Verlauf</w:t>
      </w:r>
    </w:p>
    <w:p>
      <w:pPr>
        <w:jc w:val="left"/>
      </w:pPr>
      <w:r>
        <w:t>Mandantin schildert chronologisch (siehe Mandantenchronologie, Akte 09-chronologie-mandantin). Sie wirkt vorbereitet, hat Ordner mitgebracht (47 Fotos der Auslegungsunterlagen, Brutkasten-Dokumentation Mauersegler 2018–2024, AZ-Ausschnitte). Glaubwürdig, sachlich, ohne erkennbare Übertreibung.</w:t>
      </w:r>
    </w:p>
    <w:p>
      <w:pPr>
        <w:pStyle w:val="Heading2"/>
      </w:pPr>
      <w:r>
        <w:rPr>
          <w:rFonts w:ascii="Times New Roman" w:hAnsi="Times New Roman"/>
        </w:rPr>
        <w:t>2. Vorprüfung Erfolgsaussichten</w:t>
      </w:r>
    </w:p>
    <w:p>
      <w:pPr>
        <w:jc w:val="left"/>
      </w:pPr>
      <w:r>
        <w:t>Bereits aus den vorgelegten Unterlagen ergeben sich mehrere belastbare Angriffspunkte:</w:t>
      </w:r>
    </w:p>
    <w:p>
      <w:pPr>
        <w:pStyle w:val="ListBullet"/>
      </w:pPr>
      <w:r>
        <w:t>Schallschutzgutachten ohne Tiefgaragenzufahrt und ohne Außenwohnbereich</w:t>
      </w:r>
    </w:p>
    <w:p>
      <w:pPr>
        <w:pStyle w:val="ListBullet"/>
      </w:pPr>
      <w:r>
        <w:t>saP im falschen Zeitraum</w:t>
      </w:r>
    </w:p>
    <w:p>
      <w:pPr>
        <w:pStyle w:val="ListBullet"/>
      </w:pPr>
      <w:r>
        <w:t>Stellplatzschlüssel 0,3/WE ohne tragfähiges Mobilitätskonzept</w:t>
      </w:r>
    </w:p>
    <w:p>
      <w:pPr>
        <w:pStyle w:val="ListBullet"/>
      </w:pPr>
      <w:r>
        <w:t>möglicherweise versäumte erneute Auslegung</w:t>
      </w:r>
    </w:p>
    <w:p>
      <w:pPr>
        <w:pStyle w:val="ListBullet"/>
      </w:pPr>
      <w:r>
        <w:t>FNP-Anpassung / Entwidmung Bahnanlage offen</w:t>
      </w:r>
    </w:p>
    <w:p>
      <w:pPr>
        <w:pStyle w:val="Heading2"/>
      </w:pPr>
      <w:r>
        <w:rPr>
          <w:rFonts w:ascii="Times New Roman" w:hAnsi="Times New Roman"/>
        </w:rPr>
        <w:t>3. Vorgehensvorschlag</w:t>
      </w:r>
    </w:p>
    <w:p>
      <w:pPr>
        <w:jc w:val="left"/>
      </w:pPr>
      <w:r>
        <w:t>(a) Akteneinsicht beim Stadtplanungsamt nach § 29 VwVfG — Antrag heute gestellt</w:t>
      </w:r>
    </w:p>
    <w:p>
      <w:pPr>
        <w:jc w:val="left"/>
      </w:pPr>
      <w:r>
        <w:t>(b) Normenkontrollantrag und Eilantrag parallel</w:t>
      </w:r>
    </w:p>
    <w:p>
      <w:pPr>
        <w:jc w:val="left"/>
      </w:pPr>
      <w:r>
        <w:t>(c) Vollmacht (separat)</w:t>
      </w:r>
    </w:p>
    <w:p>
      <w:pPr>
        <w:jc w:val="left"/>
      </w:pPr>
      <w:r>
        <w:t>(d) Vorschuss 4.500 €</w:t>
      </w:r>
    </w:p>
    <w:p>
      <w:pPr>
        <w:jc w:val="left"/>
      </w:pPr>
      <w:r>
        <w:t>(e) Fristenkalender (separat)</w:t>
      </w:r>
    </w:p>
    <w:p>
      <w:pPr>
        <w:pStyle w:val="Heading2"/>
      </w:pPr>
      <w:r>
        <w:rPr>
          <w:rFonts w:ascii="Times New Roman" w:hAnsi="Times New Roman"/>
        </w:rPr>
        <w:t>4. Streitwert / Honorar</w:t>
      </w:r>
    </w:p>
    <w:p>
      <w:pPr>
        <w:jc w:val="left"/>
      </w:pPr>
      <w:r>
        <w:t>Streitwert Normenkontrolle 60.000 € (Streitwertkatalog Nr. 9.8.1), Eilantrag 30.000 €. RVG-Abrechnung. Mandantin einverstanden.</w:t>
      </w:r>
    </w:p>
    <w:p>
      <w:pPr>
        <w:pStyle w:val="Heading2"/>
      </w:pPr>
      <w:r>
        <w:rPr>
          <w:rFonts w:ascii="Times New Roman" w:hAnsi="Times New Roman"/>
        </w:rPr>
        <w:t>5. Erfolgsaussichten</w:t>
      </w:r>
    </w:p>
    <w:p>
      <w:pPr>
        <w:jc w:val="left"/>
      </w:pPr>
      <w:r>
        <w:t xml:space="preserve">Vorläufige Einschätzung: </w:t>
      </w:r>
      <w:r>
        <w:rPr>
          <w:b/>
        </w:rPr>
        <w:t>überwiegend wahrscheinlich.</w:t>
      </w:r>
      <w:r>
        <w:t xml:space="preserve"> Insbesondere die Tiefgaragenzufahrt-Lücke im Schallschutzgutachten ist ein klarer Ermittlungsfehler. Erneute Auslegung MU 3 ist sehr wahrscheinlich erforderlich gewesen und unterblieben. — Risiken: Verwaltungsgericht könnte annehmen, dass §§ 214/215 BauGB Reparatur erlauben.</w:t>
      </w:r>
    </w:p>
    <w:p>
      <w:pPr>
        <w:pStyle w:val="Heading2"/>
      </w:pPr>
      <w:r>
        <w:rPr>
          <w:rFonts w:ascii="Times New Roman" w:hAnsi="Times New Roman"/>
        </w:rPr>
        <w:t>6. Nächste Schritte</w:t>
      </w:r>
    </w:p>
    <w:p>
      <w:pPr>
        <w:pStyle w:val="ListBullet"/>
      </w:pPr>
      <w:r>
        <w:t>12.07.2024 — Akteneinsichts-Antrag stellen (erledigt 12.07.)</w:t>
      </w:r>
    </w:p>
    <w:p>
      <w:pPr>
        <w:pStyle w:val="ListBullet"/>
      </w:pPr>
      <w:r>
        <w:t>15.07.2024 — Vollmacht und Vorschussrechnung an Mandantin senden</w:t>
      </w:r>
    </w:p>
    <w:p>
      <w:pPr>
        <w:pStyle w:val="ListBullet"/>
      </w:pPr>
      <w:r>
        <w:t>22.07.2024 — Akteneinsicht Stadtplanungsamt</w:t>
      </w:r>
    </w:p>
    <w:p>
      <w:pPr>
        <w:pStyle w:val="ListBullet"/>
      </w:pPr>
      <w:r>
        <w:t>30.07.2024 — Fristenkalender erstellt</w:t>
      </w:r>
    </w:p>
    <w:p>
      <w:pPr>
        <w:pStyle w:val="ListBullet"/>
      </w:pPr>
      <w:r>
        <w:t>bis 30.09.2024 — Entwurf Normenkontrollantrag</w:t>
      </w:r>
    </w:p>
    <w:p>
      <w:pPr>
        <w:jc w:val="left"/>
      </w:pPr>
      <w:r>
        <w:t>Dr. A. Brögel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