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 — Akteneinsicht Stadtplanungsamt</w:t>
      </w:r>
    </w:p>
    <w:p>
      <w:pPr>
        <w:jc w:val="left"/>
      </w:pPr>
      <w:r>
        <w:rPr>
          <w:b/>
        </w:rPr>
        <w:t>Az.:</w:t>
      </w:r>
      <w:r>
        <w:t xml:space="preserve"> 184/2024 — BR/MS</w:t>
      </w:r>
    </w:p>
    <w:p>
      <w:pPr>
        <w:jc w:val="left"/>
      </w:pPr>
      <w:r>
        <w:rPr>
          <w:b/>
        </w:rPr>
        <w:t>Datum:</w:t>
      </w:r>
      <w:r>
        <w:t xml:space="preserve"> Montag, 22. Juli 2024, 09:30 – 12:40 Uhr</w:t>
      </w:r>
    </w:p>
    <w:p>
      <w:pPr>
        <w:jc w:val="left"/>
      </w:pPr>
      <w:r>
        <w:rPr>
          <w:b/>
        </w:rPr>
        <w:t>Ort:</w:t>
      </w:r>
      <w:r>
        <w:t xml:space="preserve"> Stadt Augsburg, Stadtplanungsamt, An der Blauen Kappe 18, Zimmer 4.07</w:t>
      </w:r>
    </w:p>
    <w:p>
      <w:pPr>
        <w:jc w:val="left"/>
      </w:pPr>
      <w:r>
        <w:rPr>
          <w:b/>
        </w:rPr>
        <w:t>Teilnehmer:</w:t>
      </w:r>
      <w:r>
        <w:t xml:space="preserve"> RAin Dr. Brögel; Frau Lindl (Stadtplanungsamt)</w:t>
      </w:r>
    </w:p>
    <w:p>
      <w:pPr>
        <w:jc w:val="left"/>
      </w:pPr>
      <w:r>
        <w:rPr>
          <w:b/>
        </w:rPr>
        <w:t>Verfasser:</w:t>
      </w:r>
      <w:r>
        <w:t xml:space="preserve"> RAin Dr. Brögel</w:t>
      </w:r>
    </w:p>
    <w:p/>
    <w:p>
      <w:pPr>
        <w:pStyle w:val="Heading2"/>
      </w:pPr>
      <w:r>
        <w:rPr>
          <w:rFonts w:ascii="Times New Roman" w:hAnsi="Times New Roman"/>
        </w:rPr>
        <w:t>1. Akten</w:t>
      </w:r>
    </w:p>
    <w:p>
      <w:pPr>
        <w:jc w:val="left"/>
      </w:pPr>
      <w:r>
        <w:t>Vorgelegt wurden die Hefte 1 bis 5 des Verwaltungsvorgangs Az. 6.1-900/22 (Bauleitplanverfahren). Heft 1: Aufstellung, Heft 2: frühzeitige Beteiligung, Heft 3: förmliche Auslegung, Heft 4: Abwägung, Heft 5: Satzungsbeschluss und Bekanntmachung.</w:t>
      </w:r>
    </w:p>
    <w:p>
      <w:pPr>
        <w:pStyle w:val="Heading2"/>
      </w:pPr>
      <w:r>
        <w:rPr>
          <w:rFonts w:ascii="Times New Roman" w:hAnsi="Times New Roman"/>
        </w:rPr>
        <w:t>2. Erkenntnisse</w:t>
      </w:r>
    </w:p>
    <w:p>
      <w:pPr>
        <w:pStyle w:val="Heading3"/>
      </w:pPr>
      <w:r>
        <w:rPr>
          <w:rFonts w:ascii="Times New Roman" w:hAnsi="Times New Roman"/>
        </w:rPr>
        <w:t>2.1 Heft 3, Bl. 217 — E-Mail-Thread Schimanek / Reiff</w:t>
      </w:r>
    </w:p>
    <w:p>
      <w:pPr>
        <w:jc w:val="left"/>
      </w:pPr>
      <w:r>
        <w:t xml:space="preserve">Am 11./12.04.2022 — vor dem Aufstellungsbeschluss vom 14.06.2022 — gab es eine schriftliche Verständigung des Stadtbaurats mit dem Geschäftsführer des Vorhabenträgers zur Geometrie MU 3 mit 8 Geschossen und zur Strategie, gegenüber der Öffentlichkeit zunächst nur 6 Geschosse zu kommunizieren ("Aufstockung später per Bauausschuss"). Wörtliches Zitat protokolliert. </w:t>
      </w:r>
      <w:r>
        <w:rPr>
          <w:b/>
        </w:rPr>
        <w:t>Hochrelevantes Beweismittel — Indiz für bewussten Beteiligungsmangel und Vorfestlegung.</w:t>
      </w:r>
    </w:p>
    <w:p>
      <w:pPr>
        <w:pStyle w:val="Heading3"/>
      </w:pPr>
      <w:r>
        <w:rPr>
          <w:rFonts w:ascii="Times New Roman" w:hAnsi="Times New Roman"/>
        </w:rPr>
        <w:t>2.2 Heft 3, Bl. 442 — Mobilitätskonzept</w:t>
      </w:r>
    </w:p>
    <w:p>
      <w:pPr>
        <w:jc w:val="left"/>
      </w:pPr>
      <w:r>
        <w:t>Das Konzept liegt nur als zweiseitige Stichpunktliste vom 03.05.2024 vor, unterzeichnet von Herrn Reiff. Eine ausführliche Fassung war zum Zeitpunkt des Satzungsbeschlusses nicht beim Stadtplanungsamt.</w:t>
      </w:r>
    </w:p>
    <w:p>
      <w:pPr>
        <w:pStyle w:val="Heading3"/>
      </w:pPr>
      <w:r>
        <w:rPr>
          <w:rFonts w:ascii="Times New Roman" w:hAnsi="Times New Roman"/>
        </w:rPr>
        <w:t>2.3 Heft 3, Bl. 89 — Auslegungsunterlagen, Webveröffentlichung</w:t>
      </w:r>
    </w:p>
    <w:p>
      <w:pPr>
        <w:jc w:val="left"/>
      </w:pPr>
      <w:r>
        <w:t>In den Akten findet sich kein Nachweis, dass der Umweltbericht in der Auslegungsphase auf der öffentlichen Bauleitplanungsseite eingebettet war. Ein Vermerk zum Webarchiv liegt nicht vor.</w:t>
      </w:r>
    </w:p>
    <w:p>
      <w:pPr>
        <w:pStyle w:val="Heading3"/>
      </w:pPr>
      <w:r>
        <w:rPr>
          <w:rFonts w:ascii="Times New Roman" w:hAnsi="Times New Roman"/>
        </w:rPr>
        <w:t>2.4 Heft 4, Bl. 76 — Verschattungsstudie</w:t>
      </w:r>
    </w:p>
    <w:p>
      <w:pPr>
        <w:jc w:val="left"/>
      </w:pPr>
      <w:r>
        <w:t xml:space="preserve">Verschattungsstudie datiert vom </w:t>
      </w:r>
      <w:r>
        <w:rPr>
          <w:b/>
        </w:rPr>
        <w:t>18.10.2023</w:t>
      </w:r>
      <w:r>
        <w:t xml:space="preserve"> — also nach Ende der förmlichen Auslegung 06.10.2023. Im Auslegungsordner war sie nicht enthalten.</w:t>
      </w:r>
    </w:p>
    <w:p>
      <w:pPr>
        <w:pStyle w:val="Heading3"/>
      </w:pPr>
      <w:r>
        <w:rPr>
          <w:rFonts w:ascii="Times New Roman" w:hAnsi="Times New Roman"/>
        </w:rPr>
        <w:t>2.5 Heft 5, Bl. 31 — DB-Mitteilung Entwidmung</w:t>
      </w:r>
    </w:p>
    <w:p>
      <w:pPr>
        <w:jc w:val="left"/>
      </w:pPr>
      <w:r>
        <w:t>Schreiben DB Immobilien (Frau Witzel) vom 08.02.2024 bestätigt, dass Entwidmung § 23 AEG nur eingeleitet (18.12.2023), Entscheidung erst Q4/2024 erwartet. Zum Satzungsbeschluss 23.05.2024 ist die Entwidmung also nicht wirksam.</w:t>
      </w:r>
    </w:p>
    <w:p>
      <w:pPr>
        <w:pStyle w:val="Heading2"/>
      </w:pPr>
      <w:r>
        <w:rPr>
          <w:rFonts w:ascii="Times New Roman" w:hAnsi="Times New Roman"/>
        </w:rPr>
        <w:t>3. Kopien</w:t>
      </w:r>
    </w:p>
    <w:p>
      <w:pPr>
        <w:jc w:val="left"/>
      </w:pPr>
      <w:r>
        <w:t>Kopien angefertigt (Stadtplanungsamt § 29 VwVfG, gebührenfrei für Anwälte): 47 Blatt. Im Original gelassen, eingestempelt "Kopie zur Akte" 22.07.2024.</w:t>
      </w:r>
    </w:p>
    <w:p>
      <w:pPr>
        <w:pStyle w:val="Heading2"/>
      </w:pPr>
      <w:r>
        <w:rPr>
          <w:rFonts w:ascii="Times New Roman" w:hAnsi="Times New Roman"/>
        </w:rPr>
        <w:t>4. Bewertung</w:t>
      </w:r>
    </w:p>
    <w:p>
      <w:pPr>
        <w:jc w:val="left"/>
      </w:pPr>
      <w:r>
        <w:t>Die Aktenfunde verstärken die Erfolgsaussichten deutlich. Insbesondere E-Mail Schimanek/Reiff 12.04.2022 ist als Beweismittel von zentraler Bedeutung. Empfehlung: Eilantrag vorziehen — Bauantrag des Vorhabenträgers offenbar bereits am 02.07.2024 gestellt (Hinweis Frau Lindl am Rande).</w:t>
      </w:r>
    </w:p>
    <w:p>
      <w:pPr>
        <w:pStyle w:val="Heading2"/>
      </w:pPr>
      <w:r>
        <w:rPr>
          <w:rFonts w:ascii="Times New Roman" w:hAnsi="Times New Roman"/>
        </w:rPr>
        <w:t>5. Nächste Schritte</w:t>
      </w:r>
    </w:p>
    <w:p>
      <w:pPr>
        <w:pStyle w:val="ListBullet"/>
      </w:pPr>
      <w:r>
        <w:t>Eintrag Bauantrag 02.07.2024 in Fristenkalender als "akute Eilbedürftigkeit"</w:t>
      </w:r>
    </w:p>
    <w:p>
      <w:pPr>
        <w:pStyle w:val="ListBullet"/>
      </w:pPr>
      <w:r>
        <w:t>Entwurf Eilantrag vorzieht, Ziel: Einreichung Ende September 2024</w:t>
      </w:r>
    </w:p>
    <w:p>
      <w:pPr>
        <w:pStyle w:val="ListBullet"/>
      </w:pPr>
      <w:r>
        <w:t>Auswertung E-Mail-Konvolut Heft 3 Bl. 217 ff.</w:t>
      </w:r>
    </w:p>
    <w:p>
      <w:pPr>
        <w:jc w:val="left"/>
      </w:pPr>
      <w:r>
        <w:t>Dr. A. Brögel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