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 — Erfolgsaussicht und Strategie</w:t>
      </w:r>
    </w:p>
    <w:p>
      <w:pPr>
        <w:jc w:val="left"/>
      </w:pPr>
      <w:r>
        <w:rPr>
          <w:b/>
        </w:rPr>
        <w:t>Az.:</w:t>
      </w:r>
      <w:r>
        <w:t xml:space="preserve"> 184/2024 — BR/MS</w:t>
      </w:r>
    </w:p>
    <w:p>
      <w:pPr>
        <w:jc w:val="left"/>
      </w:pPr>
      <w:r>
        <w:rPr>
          <w:b/>
        </w:rPr>
        <w:t>Datum:</w:t>
      </w:r>
      <w:r>
        <w:t xml:space="preserve"> Dienstag, 30. Juli 2024</w:t>
      </w:r>
    </w:p>
    <w:p>
      <w:pPr>
        <w:jc w:val="left"/>
      </w:pPr>
      <w:r>
        <w:rPr>
          <w:b/>
        </w:rPr>
        <w:t>Verfasser:</w:t>
      </w:r>
      <w:r>
        <w:t xml:space="preserve"> RAin Dr. Brögel</w:t>
      </w:r>
    </w:p>
    <w:p/>
    <w:p>
      <w:pPr>
        <w:pStyle w:val="Heading2"/>
      </w:pPr>
      <w:r>
        <w:rPr>
          <w:rFonts w:ascii="Times New Roman" w:hAnsi="Times New Roman"/>
        </w:rPr>
        <w:t>1. Zusammenfassung der Angriffspunkte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Beachtlichkeit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Stärke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Erneute Auslegung MU 3 versäumt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4a Abs. 3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1 S. 1 Nr. 2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sehr 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Schallgutachten ohne Tiefgarage / Außenwohnbereich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 Abs. 3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1 S. 1 Nr. 1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sehr 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saP Mauersegler im falschen 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 Abs. 3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1 S. 1 Nr. 1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Mobilitätskonzept zwei Seiten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47 BayBO, § 2 Abs. 3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1 S. 1 Nr. 1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Vorfestlegung Durchführungsvertrag 12.05.2022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 Abs. 7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3 S. 2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sehr 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Online-Veröffentlichung Umweltbericht fehlt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4a Abs. 4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1 S. 1 Nr. 2 lit. b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Verschattungsstudie erst nach Auslegung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 Abs. 3, § 3 Abs. 2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Entwidmung § 23 AEG fehlt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38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materiell schwer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sehr stark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Formelhafte Abwägung Themenblöcke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 Abs. 7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214 Abs. 3 S. 2 BauGB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stark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Beweismittel</w:t>
      </w:r>
    </w:p>
    <w:p>
      <w:pPr>
        <w:pStyle w:val="ListBullet"/>
      </w:pPr>
      <w:r>
        <w:rPr>
          <w:b/>
        </w:rPr>
        <w:t>E-Mail Schimanek/Reiff 12.04.2022</w:t>
      </w:r>
      <w:r>
        <w:t xml:space="preserve"> (Heft 3 Bl. 217) — kritisches Indiz für Vorfestlegung und bewusste Beteiligungsumgehung</w:t>
      </w:r>
    </w:p>
    <w:p>
      <w:pPr>
        <w:pStyle w:val="ListBullet"/>
      </w:pPr>
      <w:r>
        <w:t>Schalltechnische Untersuchung mit Selbstoffenbarung des Gutachters</w:t>
      </w:r>
    </w:p>
    <w:p>
      <w:pPr>
        <w:pStyle w:val="ListBullet"/>
      </w:pPr>
      <w:r>
        <w:t>LfU-Methodenstandard für saP</w:t>
      </w:r>
    </w:p>
    <w:p>
      <w:pPr>
        <w:pStyle w:val="ListBullet"/>
      </w:pPr>
      <w:r>
        <w:t>Brutkasten-Dokumentation Mandantin</w:t>
      </w:r>
    </w:p>
    <w:p>
      <w:pPr>
        <w:pStyle w:val="ListBullet"/>
      </w:pPr>
      <w:r>
        <w:t>Audiodatei Bürgerversammlung</w:t>
      </w:r>
    </w:p>
    <w:p>
      <w:pPr>
        <w:pStyle w:val="ListBullet"/>
      </w:pPr>
      <w:r>
        <w:t>DB-Schreiben 08.02.2024 Entwidmung</w:t>
      </w:r>
    </w:p>
    <w:p>
      <w:pPr>
        <w:pStyle w:val="Heading2"/>
      </w:pPr>
      <w:r>
        <w:rPr>
          <w:rFonts w:ascii="Times New Roman" w:hAnsi="Times New Roman"/>
        </w:rPr>
        <w:t>3. Erfolgsaussicht</w:t>
      </w:r>
    </w:p>
    <w:p>
      <w:pPr>
        <w:jc w:val="left"/>
      </w:pPr>
      <w:r>
        <w:t xml:space="preserve">Im Verhältnis Verfahrensfehler + materielle Fehler + Indizien für Vorfestlegung ist von </w:t>
      </w:r>
      <w:r>
        <w:rPr>
          <w:b/>
        </w:rPr>
        <w:t>überwiegend wahrscheinlichem Obsiegen</w:t>
      </w:r>
      <w:r>
        <w:t xml:space="preserve"> auszugehen. Insbesondere die Kombination aus E-Mail vom April 2022 und der versäumten erneuten Auslegung ist nach §§ 214/215 BauGB nicht reparierbar.</w:t>
      </w:r>
    </w:p>
    <w:p>
      <w:pPr>
        <w:pStyle w:val="Heading2"/>
      </w:pPr>
      <w:r>
        <w:rPr>
          <w:rFonts w:ascii="Times New Roman" w:hAnsi="Times New Roman"/>
        </w:rPr>
        <w:t>4. Risiken</w:t>
      </w:r>
    </w:p>
    <w:p>
      <w:pPr>
        <w:pStyle w:val="ListBullet"/>
      </w:pPr>
      <w:r>
        <w:t>BayVGH könnte teilweise reparable Mängel sehen → Teilausspruch der Unwirksamkeit nur für MU 3</w:t>
      </w:r>
    </w:p>
    <w:p>
      <w:pPr>
        <w:pStyle w:val="ListBullet"/>
      </w:pPr>
      <w:r>
        <w:t>Stadt könnte ergänzendes Verfahren nach § 214 Abs. 4 BauGB einleiten</w:t>
      </w:r>
    </w:p>
    <w:p>
      <w:pPr>
        <w:pStyle w:val="ListBullet"/>
      </w:pPr>
      <w:r>
        <w:t>Im Eilantrag könnte BayVGH die Folgenabwägung zugunsten der Wohnraumschaffung gewichten</w:t>
      </w:r>
    </w:p>
    <w:p>
      <w:pPr>
        <w:pStyle w:val="Heading2"/>
      </w:pPr>
      <w:r>
        <w:rPr>
          <w:rFonts w:ascii="Times New Roman" w:hAnsi="Times New Roman"/>
        </w:rPr>
        <w:t>5. Empfehlung</w:t>
      </w:r>
    </w:p>
    <w:p>
      <w:pPr>
        <w:jc w:val="left"/>
      </w:pPr>
      <w:r>
        <w:t>Parallel Hauptsache und Eilantrag. Im Eilantrag besonderes Gewicht auf irreversible Beeinträchtigungen Tiefgaragenzufahrt + Mauersegler-Habitat legen.</w:t>
      </w:r>
    </w:p>
    <w:p>
      <w:pPr>
        <w:jc w:val="left"/>
      </w:pPr>
      <w:r>
        <w:t>Dr. A. Brögel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