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Vorschau: streitwert_annahmeverzug_berechnung</w:t>
      </w:r>
    </w:p>
    <w:p>
      <w:pPr>
        <w:ind w:left="567"/>
      </w:pPr>
      <w:r>
        <w:rPr>
          <w:i/>
        </w:rPr>
        <w:t>Markdown-Vorschau der gleichnamigen XLSX-Datei. Berechnungen, Formeln und Formatierung nur im Original.</w:t>
      </w:r>
    </w:p>
    <w:p>
      <w:pPr>
        <w:pStyle w:val="Heading2"/>
      </w:pPr>
      <w:r>
        <w:rPr>
          <w:rFonts w:ascii="Times New Roman" w:hAnsi="Times New Roman"/>
        </w:rPr>
        <w:t>Sheet: Streitwert &amp; Annahmeverzug</w:t>
      </w:r>
    </w:p>
    <w:p>
      <w:pPr>
        <w:pStyle w:val="Heading3"/>
      </w:pPr>
      <w:r>
        <w:rPr>
          <w:rFonts w:ascii="Times New Roman" w:hAnsi="Times New Roman"/>
        </w:rPr>
        <w:t>Streitwert &amp; Annahmeverzugslohn – Vogt ./. Stadtwerke Neukölln GmbH</w:t>
      </w:r>
    </w:p>
    <w:p>
      <w:pPr>
        <w:jc w:val="left"/>
      </w:pPr>
      <w:r>
        <w:t>_Az.: VGT/2026/0309-ARB \| Stand: 13. März 2026 \| RA'in Hanna Dressel_</w:t>
      </w:r>
    </w:p>
    <w:p>
      <w:pPr>
        <w:jc w:val="left"/>
      </w:pPr>
      <w:r>
        <w:t>_A. Grunddaten Arbeitsverhältnis_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Klägerin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Spalte 2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Spalte 3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Lena Vogt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Spalte 5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Spalte 6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Beklagte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Stadtwerke Neukölln GmbH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Beginn Arbeitsverhältnis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01.03.2024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Vereinbartes Ende (befristet)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28.02.2026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Bruttomonatsgehalt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2.950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Wöchentliche Arbeitszeit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40 Stunden (Vollzeit)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Steuerklasse (angenommen)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I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Sozialversicherungspflichtig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B. Streitwertberechnung (§ 42 Abs. 2 GKG)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Parameter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Wert / Berechnung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Bruttomonatsgehalt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2.950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Multiplikator (3 Monate = Quartalsverdienst, § 42 Abs. 2 GKG)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Streitwert Feststellungsantrag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8.850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Ggf. Weiterbeschäftigungsantrag (gleicher Wert, wird oft addiert)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2.950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Gesamtstreitwert (Hauptantrag + Weiterbeschäftigung)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11.800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Gerichtskostenvorschuss (GKG Anlage 1, Nr. 8010, bei Streitwert ~11.800)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→ ca. EUR 513,00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→ STREITWERT (vereinfacht 3 Monatsgehälter)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8.850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C. Annahmeverzugslohn § 615 BGB (hochgerechnete Berechnung)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Voraussetzung: Befristung unwirksam → AV fortbestehend → AG im Annahmeverzug ab 01.03.2026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Monat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Von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Bis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Brutto €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Abzgl. ALG I €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Netto-Anspruch €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März 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01.03.2026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31.03.2026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2.950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1.116,90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1.833,10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April 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01.04.2026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30.04.2026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2.950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1.116,90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1.833,10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Mai 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01.05.2026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31.05.2026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2.950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1.116,90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1.833,10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Juni 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01.06.2026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30.06.2026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2.950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1.116,90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1.833,10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Juli 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01.07.2026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31.07.2026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2.950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1.116,90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1.833,10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August 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01.08.2026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31.08.2026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2.950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1.116,90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1.833,10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Summe (6 Monate hochgerechnet)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17.700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6.701,40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10.998,60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Hinweise: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• ALG I Schätzung: ca. 60 % des letzten Nettolohns (§ 149 SGB III). Hier angenommen EUR 1.116,90/Monat (Kontrolle nach Bewilligungsbescheid).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• Der Annahmeverzugslohn ist nach § 615 Satz 2 BGB i.V.m. § 11 KSchG um anderweitigen Verdienst und ersparte Aufwendungen zu kürzen.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• Nach § 115 SGB X geht der ALG-I-Anspruch auf die Bundesagentur für Arbeit über, soweit diese geleistet hat.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• Vergleichsabfindung orientiert sich üblicherweise an 0,5 bis 1,5 Monatsgehältern pro Beschäftigungsjahr (hier: 2 Jahre = ca. EUR 2.950 bis EUR 8.850).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• Hochgerechnete Berechnung: Wird ggf. monatlich fortgeschrieben bis zum Gütertermin.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