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Leistungskondiktion — Vollständiges Prüfschema (Paragraf 812 Abs. 1 S. 1 1. Alt. BGB)</w:t>
      </w:r>
    </w:p>
    <w:p>
      <w:pPr>
        <w:jc w:val="left"/>
      </w:pPr>
      <w:r>
        <w:rPr>
          <w:b/>
        </w:rPr>
        <w:t>Aktenzeichen:</w:t>
      </w:r>
      <w:r>
        <w:t xml:space="preserve"> LG Bonn 16 O 211/26</w:t>
      </w:r>
    </w:p>
    <w:p>
      <w:pPr>
        <w:jc w:val="left"/>
      </w:pPr>
      <w:r>
        <w:rPr>
          <w:b/>
        </w:rPr>
        <w:t>Anspruchstellerin:</w:t>
      </w:r>
      <w:r>
        <w:t xml:space="preserve"> Theresia Bagheri-Aichholz</w:t>
      </w:r>
    </w:p>
    <w:p>
      <w:pPr>
        <w:jc w:val="left"/>
      </w:pPr>
      <w:r>
        <w:rPr>
          <w:b/>
        </w:rPr>
        <w:t>Anspruchsgegner:</w:t>
      </w:r>
      <w:r>
        <w:t xml:space="preserve"> Dr. Reinhart Bischof-Hellberg</w:t>
      </w:r>
    </w:p>
    <w:p>
      <w:pPr>
        <w:jc w:val="left"/>
      </w:pPr>
      <w:r>
        <w:rPr>
          <w:b/>
        </w:rPr>
        <w:t>Streitgegenstand:</w:t>
      </w:r>
      <w:r>
        <w:t xml:space="preserve"> Rückzahlung Anzahlung 600.000 EUR</w:t>
      </w:r>
    </w:p>
    <w:p/>
    <w:p>
      <w:pPr>
        <w:pStyle w:val="Heading2"/>
      </w:pPr>
      <w:r>
        <w:rPr>
          <w:rFonts w:ascii="Times New Roman" w:hAnsi="Times New Roman"/>
        </w:rPr>
        <w:t>1. Einführung: Systematik des Bereicherungsrechts</w:t>
      </w:r>
    </w:p>
    <w:p>
      <w:pPr>
        <w:jc w:val="left"/>
      </w:pPr>
      <w:r>
        <w:t>Das Bereicherungsrecht (Paragrafen 812–822 BGB) hat eine dreifache Funktion:</w:t>
      </w:r>
    </w:p>
    <w:p>
      <w:pPr>
        <w:pStyle w:val="ListNumber"/>
      </w:pPr>
      <w:r>
        <w:rPr>
          <w:b/>
        </w:rPr>
        <w:t>Ausgleichsfunktion:</w:t>
      </w:r>
      <w:r>
        <w:t xml:space="preserve"> Rückabwicklung rechtsgrundloser Vermögensverschiebungen</w:t>
      </w:r>
    </w:p>
    <w:p>
      <w:pPr>
        <w:pStyle w:val="ListNumber"/>
      </w:pPr>
      <w:r>
        <w:rPr>
          <w:b/>
        </w:rPr>
        <w:t>Korrektivfunktion:</w:t>
      </w:r>
      <w:r>
        <w:t xml:space="preserve"> Korrektur gescheiterter Schuldverhältnisse</w:t>
      </w:r>
    </w:p>
    <w:p>
      <w:pPr>
        <w:pStyle w:val="ListNumber"/>
      </w:pPr>
      <w:r>
        <w:rPr>
          <w:b/>
        </w:rPr>
        <w:t>Lückenfüllungsfunktion:</w:t>
      </w:r>
      <w:r>
        <w:t xml:space="preserve"> Ergänzung des Delikts- und Vertragsrechts</w:t>
      </w:r>
    </w:p>
    <w:p>
      <w:pPr>
        <w:jc w:val="left"/>
      </w:pPr>
      <w:r>
        <w:t xml:space="preserve">Die wichtigste Unterscheidung ist die zwischen </w:t>
      </w:r>
      <w:r>
        <w:rPr>
          <w:b/>
        </w:rPr>
        <w:t>Leistungskondiktion</w:t>
      </w:r>
      <w:r>
        <w:t xml:space="preserve"> (Paragraf 812 Abs. 1 S. 1 1. Alt. BGB) und </w:t>
      </w:r>
      <w:r>
        <w:rPr>
          <w:b/>
        </w:rPr>
        <w:t>Nichtleistungskondiktion</w:t>
      </w:r>
      <w:r>
        <w:t xml:space="preserve"> (Eingriffskondiktion, Rückgriffskondiktion, Verwendungskondiktion).</w:t>
      </w:r>
    </w:p>
    <w:p>
      <w:pPr>
        <w:jc w:val="left"/>
      </w:pPr>
      <w:r>
        <w:t xml:space="preserve">Im vorliegenden Fall steht die </w:t>
      </w:r>
      <w:r>
        <w:rPr>
          <w:b/>
        </w:rPr>
        <w:t>Leistungskondiktion</w:t>
      </w:r>
      <w:r>
        <w:t xml:space="preserve"> im Vordergrund.</w:t>
      </w:r>
    </w:p>
    <w:p/>
    <w:p>
      <w:pPr>
        <w:pStyle w:val="Heading2"/>
      </w:pPr>
      <w:r>
        <w:rPr>
          <w:rFonts w:ascii="Times New Roman" w:hAnsi="Times New Roman"/>
        </w:rPr>
        <w:t>2. Vollständiges Prüfschema</w:t>
      </w:r>
    </w:p>
    <w:p>
      <w:pPr>
        <w:pStyle w:val="Heading3"/>
      </w:pPr>
      <w:r>
        <w:rPr>
          <w:rFonts w:ascii="Times New Roman" w:hAnsi="Times New Roman"/>
        </w:rPr>
        <w:t>A. Tatbestand Paragraf 812 Abs. 1 S. 1 1. Alt. BGB</w:t>
      </w:r>
    </w:p>
    <w:p>
      <w:pPr>
        <w:pStyle w:val="Heading3"/>
      </w:pPr>
      <w:r>
        <w:rPr>
          <w:rFonts w:ascii="Times New Roman" w:hAnsi="Times New Roman"/>
        </w:rPr>
        <w:t>A.1 Der Anspruchsgegner hat etwas erlangt</w:t>
      </w:r>
    </w:p>
    <w:p>
      <w:pPr>
        <w:jc w:val="left"/>
      </w:pPr>
      <w:r>
        <w:t>Bischof-Hellberg hat durch die Überweisung der Bagheri-Aichholz vom 05.03.2025 einen</w:t>
      </w:r>
    </w:p>
    <w:p>
      <w:pPr>
        <w:jc w:val="left"/>
      </w:pPr>
      <w:r>
        <w:t>Buchgeldanspruch (Kontoguthaben) i.H.v. 600.000 EUR erlangt.</w:t>
      </w:r>
    </w:p>
    <w:p>
      <w:pPr>
        <w:jc w:val="left"/>
      </w:pPr>
      <w:r>
        <w:rPr>
          <w:b/>
        </w:rPr>
        <w:t>„Etwas"</w:t>
      </w:r>
      <w:r>
        <w:t xml:space="preserve"> i.S.d. Paragrafen 812 ff. BGB ist jeder vermögenswerte Vorteil, insbesondere:</w:t>
      </w:r>
    </w:p>
    <w:p>
      <w:pPr>
        <w:pStyle w:val="ListBullet"/>
      </w:pPr>
      <w:r>
        <w:t>Eigentum an Sachen (Paragraf 929 BGB)</w:t>
      </w:r>
    </w:p>
    <w:p>
      <w:pPr>
        <w:pStyle w:val="ListBullet"/>
      </w:pPr>
      <w:r>
        <w:t>Forderungen</w:t>
      </w:r>
    </w:p>
    <w:p>
      <w:pPr>
        <w:pStyle w:val="ListBullet"/>
      </w:pPr>
      <w:r>
        <w:rPr>
          <w:b/>
        </w:rPr>
        <w:t>Buchgeld / Kontogutschrift</w:t>
      </w:r>
      <w:r>
        <w:t xml:space="preserve"> (hier: IBAN-Überweisung 600.000 EUR) ✓</w:t>
      </w:r>
    </w:p>
    <w:p>
      <w:pPr>
        <w:pStyle w:val="ListBullet"/>
      </w:pPr>
      <w:r>
        <w:t>Dienstleistungen (str., h.M.: ja, sofern wirtschaftlich messbar)</w:t>
      </w:r>
    </w:p>
    <w:p>
      <w:pPr>
        <w:pStyle w:val="ListBullet"/>
      </w:pPr>
      <w:r>
        <w:t>Befreiung von einer Verbindlichkeit</w:t>
      </w:r>
    </w:p>
    <w:p>
      <w:pPr>
        <w:jc w:val="left"/>
      </w:pPr>
      <w:r>
        <w:t xml:space="preserve">Ergebnis: </w:t>
      </w:r>
      <w:r>
        <w:rPr>
          <w:b/>
        </w:rPr>
        <w:t>Ja, Bischof-Hellberg hat 600.000 EUR erlangt.</w:t>
      </w:r>
    </w:p>
    <w:p>
      <w:pPr>
        <w:pStyle w:val="Heading3"/>
      </w:pPr>
      <w:r>
        <w:rPr>
          <w:rFonts w:ascii="Times New Roman" w:hAnsi="Times New Roman"/>
        </w:rPr>
        <w:t>A.2 Durch Leistung des Anspruchstellers</w:t>
      </w:r>
    </w:p>
    <w:p>
      <w:pPr>
        <w:jc w:val="left"/>
      </w:pPr>
      <w:r>
        <w:rPr>
          <w:b/>
        </w:rPr>
        <w:t>Leistung</w:t>
      </w:r>
      <w:r>
        <w:t xml:space="preserve"> ist nach ständiger BGH-Rechtsprechung jede bewusste und zweckgerichtete</w:t>
      </w:r>
    </w:p>
    <w:p>
      <w:pPr>
        <w:jc w:val="left"/>
      </w:pPr>
      <w:r>
        <w:t xml:space="preserve">Mehrung fremden Vermögens. Maßgeblich ist der </w:t>
      </w:r>
      <w:r>
        <w:rPr>
          <w:b/>
        </w:rPr>
        <w:t>Leistungszweck</w:t>
      </w:r>
      <w:r>
        <w:t xml:space="preserve"> aus Sicht des Leistenden.</w:t>
      </w:r>
    </w:p>
    <w:p>
      <w:pPr>
        <w:jc w:val="left"/>
      </w:pPr>
      <w:r>
        <w:t>Bagheri-Aichholz zahlte die 600.000 EUR:</w:t>
      </w:r>
    </w:p>
    <w:p>
      <w:pPr>
        <w:pStyle w:val="ListBullet"/>
      </w:pPr>
      <w:r>
        <w:rPr>
          <w:b/>
        </w:rPr>
        <w:t>bewusst:</w:t>
      </w:r>
      <w:r>
        <w:t xml:space="preserve"> eigenhändige Überweisung ✓</w:t>
      </w:r>
    </w:p>
    <w:p>
      <w:pPr>
        <w:pStyle w:val="ListBullet"/>
      </w:pPr>
      <w:r>
        <w:rPr>
          <w:b/>
        </w:rPr>
        <w:t>zweckgerichtet:</w:t>
      </w:r>
      <w:r>
        <w:t xml:space="preserve"> zur Erfüllung der vertraglichen Anzahlungspflicht aus dem Kaufvertrag v. 03.03.2025 ✓</w:t>
      </w:r>
    </w:p>
    <w:p>
      <w:pPr>
        <w:pStyle w:val="ListBullet"/>
      </w:pPr>
      <w:r>
        <w:rPr>
          <w:b/>
        </w:rPr>
        <w:t>Mehrung fremden Vermögens:</w:t>
      </w:r>
      <w:r>
        <w:t xml:space="preserve"> Kontogutschrift Bischof-Hellberg ✓</w:t>
      </w:r>
    </w:p>
    <w:p>
      <w:pPr>
        <w:jc w:val="left"/>
      </w:pPr>
      <w:r>
        <w:t xml:space="preserve">Ergebnis: </w:t>
      </w:r>
      <w:r>
        <w:rPr>
          <w:b/>
        </w:rPr>
        <w:t>Ja, Zahlung erfolgte durch Leistung.</w:t>
      </w:r>
    </w:p>
    <w:p>
      <w:pPr>
        <w:pStyle w:val="Heading3"/>
      </w:pPr>
      <w:r>
        <w:rPr>
          <w:rFonts w:ascii="Times New Roman" w:hAnsi="Times New Roman"/>
        </w:rPr>
        <w:t>A.3 Ohne rechtlichen Grund</w:t>
      </w:r>
    </w:p>
    <w:p>
      <w:pPr>
        <w:jc w:val="left"/>
      </w:pPr>
      <w:r>
        <w:rPr>
          <w:b/>
        </w:rPr>
        <w:t>Rechtlicher Grund</w:t>
      </w:r>
      <w:r>
        <w:t xml:space="preserve"> für die Leistung war der Kaufvertrag vom 03.03.2025 (Paragraf 433 BGB).</w:t>
      </w:r>
    </w:p>
    <w:p>
      <w:pPr>
        <w:jc w:val="left"/>
      </w:pPr>
      <w:r>
        <w:t>Dieser Rechtsgrund ist nachträglich entfallen:</w:t>
      </w:r>
    </w:p>
    <w:p>
      <w:pPr>
        <w:pStyle w:val="ListBullet"/>
      </w:pPr>
      <w:r>
        <w:t>Bischof-Hellberg lieferte das Fahrzeug am 28.03.2025 an Trappenfels</w:t>
      </w:r>
    </w:p>
    <w:p>
      <w:pPr>
        <w:pStyle w:val="ListBullet"/>
      </w:pPr>
      <w:r>
        <w:t>Für Bagheri-Aichholz ist die Lieferung gem. Paragraf 275 Abs. 1 BGB unmöglich geworden</w:t>
      </w:r>
    </w:p>
    <w:p>
      <w:pPr>
        <w:pStyle w:val="ListBullet"/>
      </w:pPr>
      <w:r>
        <w:t>Bagheri-Aichholz erklärte mit Schreiben vom 10.04.2025 den Rücktritt vom Kaufvertrag</w:t>
      </w:r>
    </w:p>
    <w:p>
      <w:pPr>
        <w:jc w:val="left"/>
      </w:pPr>
      <w:r>
        <w:t>(Paragraf 326 Abs. 5, 323 BGB)</w:t>
      </w:r>
    </w:p>
    <w:p>
      <w:pPr>
        <w:pStyle w:val="ListBullet"/>
      </w:pPr>
      <w:r>
        <w:t>Mit Wirksamkeit des Rücktritts ist der Kaufvertrag als Rechtsgrund für die Anzahlung entfallen</w:t>
      </w:r>
    </w:p>
    <w:p>
      <w:pPr>
        <w:jc w:val="left"/>
      </w:pPr>
      <w:r>
        <w:rPr>
          <w:b/>
        </w:rPr>
        <w:t>Alternative Einordnung:</w:t>
      </w:r>
    </w:p>
    <w:p>
      <w:pPr>
        <w:jc w:val="left"/>
      </w:pPr>
      <w:r>
        <w:t xml:space="preserve">Die h.M. qualifiziert dies als </w:t>
      </w:r>
      <w:r>
        <w:rPr>
          <w:b/>
        </w:rPr>
        <w:t>condictio ob causam finitam</w:t>
      </w:r>
      <w:r>
        <w:t xml:space="preserve"> nach Paragraf 812 Abs. 1 S. 2 Alt. 1 BGB</w:t>
      </w:r>
    </w:p>
    <w:p>
      <w:pPr>
        <w:jc w:val="left"/>
      </w:pPr>
      <w:r>
        <w:t>(Rechtsgrund nachträglich weggefallen). Der BGH behandelt dies im Ergebnis deckungsgleich</w:t>
      </w:r>
    </w:p>
    <w:p>
      <w:pPr>
        <w:jc w:val="left"/>
      </w:pPr>
      <w:r>
        <w:t>mit der Leistungskondiktion nach Paragraf 812 Abs. 1 S. 1 1. Alt. BGB.</w:t>
      </w:r>
    </w:p>
    <w:p>
      <w:pPr>
        <w:jc w:val="left"/>
      </w:pPr>
      <w:r>
        <w:t xml:space="preserve">Ergebnis: </w:t>
      </w:r>
      <w:r>
        <w:rPr>
          <w:b/>
        </w:rPr>
        <w:t>Ja, Leistung erfolgte ohne Rechtsgrund (nach Rücktritt).</w:t>
      </w:r>
    </w:p>
    <w:p>
      <w:pPr>
        <w:pStyle w:val="Heading3"/>
      </w:pPr>
      <w:r>
        <w:rPr>
          <w:rFonts w:ascii="Times New Roman" w:hAnsi="Times New Roman"/>
        </w:rPr>
        <w:t>B. Ausschluss nach Paragraf 814 BGB (Kenntnis vom fehlenden Rechtsgrund)</w:t>
      </w:r>
    </w:p>
    <w:p>
      <w:pPr>
        <w:jc w:val="left"/>
      </w:pPr>
      <w:r>
        <w:t>Paragraf 814 BGB schließt die Rückforderung aus, wenn der Leistende wusste,</w:t>
      </w:r>
    </w:p>
    <w:p>
      <w:pPr>
        <w:jc w:val="left"/>
      </w:pPr>
      <w:r>
        <w:t>dass er zur Leistung nicht verpflichtet war.</w:t>
      </w:r>
    </w:p>
    <w:p>
      <w:pPr>
        <w:jc w:val="left"/>
      </w:pPr>
      <w:r>
        <w:t>Bagheri-Aichholz zahlte in Unkenntnis des bereits geschlossenen zweiten Kaufvertrags</w:t>
      </w:r>
    </w:p>
    <w:p>
      <w:pPr>
        <w:jc w:val="left"/>
      </w:pPr>
      <w:r>
        <w:t>mit Trappenfels. Sie ging davon aus, einen wirksamen Kaufvertrag abgeschlossen zu haben.</w:t>
      </w:r>
    </w:p>
    <w:p>
      <w:pPr>
        <w:jc w:val="left"/>
      </w:pPr>
      <w:r>
        <w:t xml:space="preserve">Paragraf 814 BGB greift daher </w:t>
      </w:r>
      <w:r>
        <w:rPr>
          <w:b/>
        </w:rPr>
        <w:t>nicht</w:t>
      </w:r>
      <w:r>
        <w:t xml:space="preserve"> ein.</w:t>
      </w:r>
    </w:p>
    <w:p>
      <w:pPr>
        <w:pStyle w:val="Heading3"/>
      </w:pPr>
      <w:r>
        <w:rPr>
          <w:rFonts w:ascii="Times New Roman" w:hAnsi="Times New Roman"/>
        </w:rPr>
        <w:t>C. Ausschluss nach Paragraf 815 BGB</w:t>
      </w:r>
    </w:p>
    <w:p>
      <w:pPr>
        <w:jc w:val="left"/>
      </w:pPr>
      <w:r>
        <w:t>Paragraf 815 BGB schließt die Rückforderung aus, wenn der Eintritt des bezweckten</w:t>
      </w:r>
    </w:p>
    <w:p>
      <w:pPr>
        <w:jc w:val="left"/>
      </w:pPr>
      <w:r>
        <w:t>Erfolgs von Anfang an unmöglich war und der Leistende dies wusste,</w:t>
      </w:r>
    </w:p>
    <w:p>
      <w:pPr>
        <w:jc w:val="left"/>
      </w:pPr>
      <w:r>
        <w:t>oder wenn der Leistende den Eintritt des Erfolgs wider Treu und Glauben verhindert hat.</w:t>
      </w:r>
    </w:p>
    <w:p>
      <w:pPr>
        <w:jc w:val="left"/>
      </w:pPr>
      <w:r>
        <w:t>Bagheri-Aichholz hat den Erfolg nicht verhindert; der erste Tatbestandsalt. greift</w:t>
      </w:r>
    </w:p>
    <w:p>
      <w:pPr>
        <w:jc w:val="left"/>
      </w:pPr>
      <w:r>
        <w:t xml:space="preserve">mangels Kenntnis nicht ein. Paragraf 815 BGB greift </w:t>
      </w:r>
      <w:r>
        <w:rPr>
          <w:b/>
        </w:rPr>
        <w:t>nicht</w:t>
      </w:r>
      <w:r>
        <w:t xml:space="preserve"> ein.</w:t>
      </w:r>
    </w:p>
    <w:p>
      <w:pPr>
        <w:pStyle w:val="Heading3"/>
      </w:pPr>
      <w:r>
        <w:rPr>
          <w:rFonts w:ascii="Times New Roman" w:hAnsi="Times New Roman"/>
        </w:rPr>
        <w:t>D. Ausschluss nach Paragraf 817 S. 2 BGB</w:t>
      </w:r>
    </w:p>
    <w:p>
      <w:pPr>
        <w:jc w:val="left"/>
      </w:pPr>
      <w:r>
        <w:t>Paragraf 817 S. 2 BGB schließt die Rückforderung aus, wenn dem Leistenden selbst</w:t>
      </w:r>
    </w:p>
    <w:p>
      <w:pPr>
        <w:jc w:val="left"/>
      </w:pPr>
      <w:r>
        <w:t>ein Gesetzesverstoß oder Sittenverstoß zur Last fällt.</w:t>
      </w:r>
    </w:p>
    <w:p>
      <w:pPr>
        <w:jc w:val="left"/>
      </w:pPr>
      <w:r>
        <w:t xml:space="preserve">Bagheri-Aichholz handelte nicht sittenwidrig oder gesetzeswidrig. </w:t>
      </w:r>
      <w:r>
        <w:rPr>
          <w:b/>
        </w:rPr>
        <w:t>Keine Anwendung.</w:t>
      </w:r>
    </w:p>
    <w:p/>
    <w:p>
      <w:pPr>
        <w:pStyle w:val="Heading2"/>
      </w:pPr>
      <w:r>
        <w:rPr>
          <w:rFonts w:ascii="Times New Roman" w:hAnsi="Times New Roman"/>
        </w:rPr>
        <w:t>3. Umfang der Rückforderungspflicht</w:t>
      </w:r>
    </w:p>
    <w:p>
      <w:pPr>
        <w:pStyle w:val="Heading3"/>
      </w:pPr>
      <w:r>
        <w:rPr>
          <w:rFonts w:ascii="Times New Roman" w:hAnsi="Times New Roman"/>
        </w:rPr>
        <w:t>3.1 Herausgabepflicht (Paragraf 818 Abs. 1 BGB)</w:t>
      </w:r>
    </w:p>
    <w:p>
      <w:pPr>
        <w:jc w:val="left"/>
      </w:pPr>
      <w:r>
        <w:t>Bischof-Hellberg schuldet Herausgabe des Erlangten:</w:t>
      </w:r>
    </w:p>
    <w:p>
      <w:pPr>
        <w:pStyle w:val="ListBullet"/>
      </w:pPr>
      <w:r>
        <w:t>Ursprüngliches Erlangtes: 600.000 EUR Buchgeld</w:t>
      </w:r>
    </w:p>
    <w:p>
      <w:pPr>
        <w:pStyle w:val="ListBullet"/>
      </w:pPr>
      <w:r>
        <w:t>Da Buchgeld nicht als solches herausgegeben werden kann:</w:t>
      </w:r>
    </w:p>
    <w:p>
      <w:pPr>
        <w:jc w:val="left"/>
      </w:pPr>
      <w:r>
        <w:t>Wertersatz in Geld (Paragraf 818 Abs. 2 BGB) = 600.000 EUR</w:t>
      </w:r>
    </w:p>
    <w:p>
      <w:pPr>
        <w:pStyle w:val="Heading3"/>
      </w:pPr>
      <w:r>
        <w:rPr>
          <w:rFonts w:ascii="Times New Roman" w:hAnsi="Times New Roman"/>
        </w:rPr>
        <w:t>3.2 Nutzungsherausgabe (Paragraf 818 Abs. 1 Alt. 2 BGB)</w:t>
      </w:r>
    </w:p>
    <w:p>
      <w:pPr>
        <w:jc w:val="left"/>
      </w:pPr>
      <w:r>
        <w:t>Gezogene Nutzungen aus 600.000 EUR:</w:t>
      </w:r>
    </w:p>
    <w:p>
      <w:pPr>
        <w:pStyle w:val="ListBullet"/>
      </w:pPr>
      <w:r>
        <w:t>Marktüblicher Zinssatz (Guthabenzinsen oder Refinanzierungsvorteil): ca. 3.5 % p.a.</w:t>
      </w:r>
    </w:p>
    <w:p>
      <w:pPr>
        <w:pStyle w:val="ListBullet"/>
      </w:pPr>
      <w:r>
        <w:t>Zeitraum: 05.03.2025 bis Rückzahlung</w:t>
      </w:r>
    </w:p>
    <w:p>
      <w:pPr>
        <w:pStyle w:val="ListBullet"/>
      </w:pPr>
      <w:r>
        <w:t>Berechnung: 600.000 EUR x 0.035 / 365 x Tage = ca. 57.53 EUR/Tag</w:t>
      </w:r>
    </w:p>
    <w:p>
      <w:pPr>
        <w:pStyle w:val="Heading3"/>
      </w:pPr>
      <w:r>
        <w:rPr>
          <w:rFonts w:ascii="Times New Roman" w:hAnsi="Times New Roman"/>
        </w:rPr>
        <w:t>3.3 Verschärfte Haftung (Paragraf 819 Abs. 1 BGB)</w:t>
      </w:r>
    </w:p>
    <w:p>
      <w:pPr>
        <w:jc w:val="left"/>
      </w:pPr>
      <w:r>
        <w:t>Mit Kenntnis des fehlenden Rechtsgrundes (spätestens nach Zugang des Rücktrittsschreibens</w:t>
      </w:r>
    </w:p>
    <w:p>
      <w:pPr>
        <w:jc w:val="left"/>
      </w:pPr>
      <w:r>
        <w:t>vom 10.04.2025) haftet Bischof-Hellberg gem. Paragraf 819 Abs. 1 BGB wie ein Schuldner,</w:t>
      </w:r>
    </w:p>
    <w:p>
      <w:pPr>
        <w:jc w:val="left"/>
      </w:pPr>
      <w:r>
        <w:t>der sich in Verzug befindet (Paragraf 818 Abs. 4 i.V.m. 292 BGB).</w:t>
      </w:r>
    </w:p>
    <w:p>
      <w:pPr>
        <w:jc w:val="left"/>
      </w:pPr>
      <w:r>
        <w:t>Folge: Gesetzliche Verzugszinsen (Paragraf 288 Abs. 1 BGB) = 5 % über Basiszinssatz</w:t>
      </w:r>
    </w:p>
    <w:p>
      <w:pPr>
        <w:jc w:val="left"/>
      </w:pPr>
      <w:r>
        <w:t>ab 10.04.2025 auf 600.000 EUR.</w:t>
      </w:r>
    </w:p>
    <w:p/>
    <w:p>
      <w:pPr>
        <w:pStyle w:val="Heading2"/>
      </w:pPr>
      <w:r>
        <w:rPr>
          <w:rFonts w:ascii="Times New Roman" w:hAnsi="Times New Roman"/>
        </w:rPr>
        <w:t>4. Konkurrenzen und Zusammentreffen</w:t>
      </w:r>
    </w:p>
    <w:p>
      <w:pPr>
        <w:jc w:val="left"/>
      </w:pPr>
      <w:r>
        <w:t>Das bereicherungsrechtliche Rückforderungsrecht steht neben dem vertraglichen</w:t>
      </w:r>
    </w:p>
    <w:p>
      <w:pPr>
        <w:jc w:val="left"/>
      </w:pPr>
      <w:r>
        <w:t>Rückabwicklungsanspruch aus Paragraf 346 BGB nach Rücktritt. Beide Ansprüche</w:t>
      </w:r>
    </w:p>
    <w:p>
      <w:pPr>
        <w:jc w:val="left"/>
      </w:pPr>
      <w:r>
        <w:t>können nebeneinander bestehen; der Gläubiger hat ein Wahlrecht hinsichtlich</w:t>
      </w:r>
    </w:p>
    <w:p>
      <w:pPr>
        <w:jc w:val="left"/>
      </w:pPr>
      <w:r>
        <w:t>der Anspruchsgrundlage. In der Praxis wird der Rücktrittsanspruch vorgezogen,</w:t>
      </w:r>
    </w:p>
    <w:p>
      <w:pPr>
        <w:jc w:val="left"/>
      </w:pPr>
      <w:r>
        <w:t>da er klarer geregelt und einfacher durchzusetzen ist.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812 BGB: https://dejure.org/gesetze/BGB/812.html</w:t>
      </w:r>
    </w:p>
    <w:p>
      <w:pPr>
        <w:pStyle w:val="ListBullet"/>
      </w:pPr>
      <w:r>
        <w:t>Paragraf 814 BGB: https://dejure.org/gesetze/BGB/814.html</w:t>
      </w:r>
    </w:p>
    <w:p>
      <w:pPr>
        <w:pStyle w:val="ListBullet"/>
      </w:pPr>
      <w:r>
        <w:t>Paragraf 818 BGB: https://dejure.org/gesetze/BGB/818.html</w:t>
      </w:r>
    </w:p>
    <w:p>
      <w:pPr>
        <w:pStyle w:val="ListBullet"/>
      </w:pPr>
      <w:r>
        <w:t>BGH NJW 1990, 3194 (Bereicherungsrecht Grundsätze):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