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Dreiecksverhaeltnis — Angewiesene Zahlung 78.000 EUR / Schmiedeknecht-Restaurations-KG</w:t>
      </w:r>
    </w:p>
    <w:p>
      <w:pPr>
        <w:jc w:val="left"/>
      </w:pPr>
      <w:r>
        <w:rPr>
          <w:b/>
        </w:rPr>
        <w:t>Aktenzeichen:</w:t>
      </w:r>
      <w:r>
        <w:t xml:space="preserve"> LG Bonn 16 O 211/26 (Hilfsanspruch)</w:t>
      </w:r>
    </w:p>
    <w:p>
      <w:pPr>
        <w:jc w:val="left"/>
      </w:pPr>
      <w:r>
        <w:rPr>
          <w:b/>
        </w:rPr>
        <w:t>Beteiligte:</w:t>
      </w:r>
      <w:r>
        <w:t xml:space="preserve"> Bischof-Hellberg (Anweisender), Schmiedeknecht-Restaurations-KG Koeln (Empfänger), Dritter (Angewiesener, Hausbank Volksbank Bonn)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jc w:val="left"/>
      </w:pPr>
      <w:r>
        <w:t>Am 15.04.2025 beauftragte Dr. Bischof-Hellberg die Volksbank Bonn (Hausbank),</w:t>
      </w:r>
    </w:p>
    <w:p>
      <w:pPr>
        <w:jc w:val="left"/>
      </w:pPr>
      <w:r>
        <w:t>einen Betrag von 78.000 EUR an die Schmiedeknecht-Restaurations-KG Koeln</w:t>
      </w:r>
    </w:p>
    <w:p>
      <w:pPr>
        <w:jc w:val="left"/>
      </w:pPr>
      <w:r>
        <w:t>zu überweisen. Grundlage der Zahlung war eine Vereinbarung über die</w:t>
      </w:r>
    </w:p>
    <w:p>
      <w:pPr>
        <w:jc w:val="left"/>
      </w:pPr>
      <w:r>
        <w:t>Durchführung von Restaurierungsarbeiten am Mercedes-Benz 300 SL</w:t>
      </w:r>
    </w:p>
    <w:p>
      <w:pPr>
        <w:jc w:val="left"/>
      </w:pPr>
      <w:r>
        <w:t>(Motorrevision, Karosseriearbeiten, Innenausstattung).</w:t>
      </w:r>
    </w:p>
    <w:p>
      <w:pPr>
        <w:jc w:val="left"/>
      </w:pPr>
      <w:r>
        <w:t>Die Anweisung (Paragraf 783 BGB) an die Hausbank wurde von Bischof-Hellberg</w:t>
      </w:r>
    </w:p>
    <w:p>
      <w:pPr>
        <w:jc w:val="left"/>
      </w:pPr>
      <w:r>
        <w:t>mit Schreiben vom 20.05.2025 wegen Irrtums nach Paragraf 119 BGB angefochten.</w:t>
      </w:r>
    </w:p>
    <w:p>
      <w:pPr>
        <w:jc w:val="left"/>
      </w:pPr>
      <w:r>
        <w:t>Bischof-Hellberg behauptet, er habe sich über den Gegenstand der Anweisung</w:t>
      </w:r>
    </w:p>
    <w:p>
      <w:pPr>
        <w:jc w:val="left"/>
      </w:pPr>
      <w:r>
        <w:t>geirrt (Identitätsirrtum: er habe nicht die Schmiedeknecht-KG, sondern eine</w:t>
      </w:r>
    </w:p>
    <w:p>
      <w:pPr>
        <w:jc w:val="left"/>
      </w:pPr>
      <w:r>
        <w:t>andere Werkstatt, die Riedering Klassik-Service GmbH, beauftragen wollen).</w:t>
      </w:r>
    </w:p>
    <w:p/>
    <w:p>
      <w:pPr>
        <w:pStyle w:val="Heading2"/>
      </w:pPr>
      <w:r>
        <w:rPr>
          <w:rFonts w:ascii="Times New Roman" w:hAnsi="Times New Roman"/>
        </w:rPr>
        <w:t>2. Dreiecksstruktur</w:t>
      </w:r>
    </w:p>
    <w:p>
      <w:pPr>
        <w:jc w:val="left"/>
      </w:pPr>
      <w:r>
        <w:t>```</w:t>
      </w:r>
    </w:p>
    <w:p>
      <w:pPr>
        <w:jc w:val="left"/>
      </w:pPr>
      <w:r>
        <w:t>BISCHOF-HELLBERG</w:t>
      </w:r>
    </w:p>
    <w:p>
      <w:pPr>
        <w:jc w:val="left"/>
      </w:pPr>
      <w:r>
        <w:t>(Anweisender/Schuldner)</w:t>
      </w:r>
    </w:p>
    <w:p>
      <w:pPr>
        <w:jc w:val="left"/>
      </w:pPr>
      <w:r>
        <w:t>┌────────────┼───────────────┐</w:t>
      </w:r>
    </w:p>
    <w:p>
      <w:pPr>
        <w:jc w:val="left"/>
      </w:pPr>
      <w:r>
        <w:t>DECKUNGSVERHÄLTNIS              VALUTAVERHÄLTNIS</w:t>
      </w:r>
    </w:p>
    <w:p>
      <w:pPr>
        <w:jc w:val="left"/>
      </w:pPr>
      <w:r>
        <w:t>(Kontovertrag/                  (Werkvertrag/</w:t>
      </w:r>
    </w:p>
    <w:p>
      <w:pPr>
        <w:jc w:val="left"/>
      </w:pPr>
      <w:r>
        <w:t>Anweisungsvertrag)              Auftragsrecht)</w:t>
      </w:r>
    </w:p>
    <w:p>
      <w:pPr>
        <w:jc w:val="left"/>
      </w:pPr>
      <w:r>
        <w:t>VOLKSBANK BONN             SCHMIEDEKNECHT-KG</w:t>
      </w:r>
    </w:p>
    <w:p>
      <w:pPr>
        <w:jc w:val="left"/>
      </w:pPr>
      <w:r>
        <w:t>(Angewiesener/              (Empfänger/Gläubiger)</w:t>
      </w:r>
    </w:p>
    <w:p>
      <w:pPr>
        <w:jc w:val="left"/>
      </w:pPr>
      <w:r>
        <w:t>Dritter)                          |</w:t>
      </w:r>
    </w:p>
    <w:p>
      <w:pPr>
        <w:jc w:val="left"/>
      </w:pPr>
      <w:r>
        <w:t>└────── ZUWENDUNGSVERHÄLTNIS ─────┘</w:t>
      </w:r>
    </w:p>
    <w:p>
      <w:pPr>
        <w:jc w:val="left"/>
      </w:pPr>
      <w:r>
        <w:t>(Überweisungsvorgang)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2.1 Deckungsverhältnis (Bischof-Hellberg — Volksbank Bonn)</w:t>
      </w:r>
    </w:p>
    <w:p>
      <w:pPr>
        <w:jc w:val="left"/>
      </w:pPr>
      <w:r>
        <w:t>Grundlage: Girovertrag (Paragraf 675 ff. BGB) zwischen Bischof-Hellberg und</w:t>
      </w:r>
    </w:p>
    <w:p>
      <w:pPr>
        <w:jc w:val="left"/>
      </w:pPr>
      <w:r>
        <w:t>der Volksbank Bonn. Die Anweisung (Paragraf 783 BGB) ermächtigt die Bank,</w:t>
      </w:r>
    </w:p>
    <w:p>
      <w:pPr>
        <w:jc w:val="left"/>
      </w:pPr>
      <w:r>
        <w:t>zulasten des Kontos des Bischof-Hellberg 78.000 EUR an die Schmiedeknecht-KG</w:t>
      </w:r>
    </w:p>
    <w:p>
      <w:pPr>
        <w:jc w:val="left"/>
      </w:pPr>
      <w:r>
        <w:t>zu zahlen. Mit Anfechtung der Anweisung ist diese ex tunc nichtig (Paragraf 142 BGB).</w:t>
      </w:r>
    </w:p>
    <w:p>
      <w:pPr>
        <w:pStyle w:val="Heading3"/>
      </w:pPr>
      <w:r>
        <w:rPr>
          <w:rFonts w:ascii="Times New Roman" w:hAnsi="Times New Roman"/>
        </w:rPr>
        <w:t>2.2 Valutaverhältnis (Bischof-Hellberg — Schmiedeknecht-KG)</w:t>
      </w:r>
    </w:p>
    <w:p>
      <w:pPr>
        <w:jc w:val="left"/>
      </w:pPr>
      <w:r>
        <w:t>Grundlage: Werkvertrag über Restaurierungsarbeiten (Paragraf 631 ff. BGB).</w:t>
      </w:r>
    </w:p>
    <w:p>
      <w:pPr>
        <w:jc w:val="left"/>
      </w:pPr>
      <w:r>
        <w:t>Streitig ist, ob dieser Werkvertrag überhaupt wirksam zustande gekommen ist</w:t>
      </w:r>
    </w:p>
    <w:p>
      <w:pPr>
        <w:jc w:val="left"/>
      </w:pPr>
      <w:r>
        <w:t>und ob die Identitätsverwechslung des Bischof-Hellberg auch den Werkvertrag</w:t>
      </w:r>
    </w:p>
    <w:p>
      <w:pPr>
        <w:jc w:val="left"/>
      </w:pPr>
      <w:r>
        <w:t>erfasst (dann: Nichtigkeit des Werkvertrags nach Paragraf 119 Abs. 1 BGB).</w:t>
      </w:r>
    </w:p>
    <w:p>
      <w:pPr>
        <w:pStyle w:val="Heading3"/>
      </w:pPr>
      <w:r>
        <w:rPr>
          <w:rFonts w:ascii="Times New Roman" w:hAnsi="Times New Roman"/>
        </w:rPr>
        <w:t>2.3 Zuwendungsverhältnis (Volksbank Bonn — Schmiedeknecht-KG)</w:t>
      </w:r>
    </w:p>
    <w:p>
      <w:pPr>
        <w:jc w:val="left"/>
      </w:pPr>
      <w:r>
        <w:t>Die tatsächliche Zahlung von 78.000 EUR an die Schmiedeknecht-KG erfolgte</w:t>
      </w:r>
    </w:p>
    <w:p>
      <w:pPr>
        <w:jc w:val="left"/>
      </w:pPr>
      <w:r>
        <w:t>durch Kontogutschrift am 16.04.2025. Die Volksbank Bonn handelte auf Weisung</w:t>
      </w:r>
    </w:p>
    <w:p>
      <w:pPr>
        <w:jc w:val="left"/>
      </w:pPr>
      <w:r>
        <w:t>des Bischof-Hellberg, also im fremden Namen (mittelbarer Zuwendungsvorgang).</w:t>
      </w:r>
    </w:p>
    <w:p/>
    <w:p>
      <w:pPr>
        <w:pStyle w:val="Heading2"/>
      </w:pPr>
      <w:r>
        <w:rPr>
          <w:rFonts w:ascii="Times New Roman" w:hAnsi="Times New Roman"/>
        </w:rPr>
        <w:t>3. Bereicherungsausgleich nach nichtigem Anweisungsverhältnis</w:t>
      </w:r>
    </w:p>
    <w:p>
      <w:pPr>
        <w:pStyle w:val="Heading3"/>
      </w:pPr>
      <w:r>
        <w:rPr>
          <w:rFonts w:ascii="Times New Roman" w:hAnsi="Times New Roman"/>
        </w:rPr>
        <w:t>3.1 BGH-Grundsätze zum Bereicherungsausgleich im Dreieck</w:t>
      </w:r>
    </w:p>
    <w:p>
      <w:pPr>
        <w:jc w:val="left"/>
      </w:pPr>
      <w:r>
        <w:t>Nach ständiger BGH-Rechtsprechung (grundlegend BGHZ 40, 272 = NJW 1964, 399;</w:t>
      </w:r>
    </w:p>
    <w:p>
      <w:pPr>
        <w:jc w:val="left"/>
      </w:pPr>
      <w:r>
        <w:t>bestätigt in BGHZ 147, 145 = NJW 2001, 1937 und BGH NJW 2008, 1369) gilt:</w:t>
      </w:r>
    </w:p>
    <w:p>
      <w:pPr>
        <w:jc w:val="left"/>
      </w:pPr>
      <w:r>
        <w:rPr>
          <w:b/>
        </w:rPr>
        <w:t>Grundsatz:</w:t>
      </w:r>
      <w:r>
        <w:t xml:space="preserve"> Der Bereicherungsausgleich bei Anweisungsverhältnissen</w:t>
      </w:r>
    </w:p>
    <w:p>
      <w:pPr>
        <w:jc w:val="left"/>
      </w:pPr>
      <w:r>
        <w:t xml:space="preserve">vollzieht sich grundsätzlich in der </w:t>
      </w:r>
      <w:r>
        <w:rPr>
          <w:b/>
        </w:rPr>
        <w:t>Leistungskette</w:t>
      </w:r>
      <w:r>
        <w:t>, nicht durch</w:t>
      </w:r>
    </w:p>
    <w:p>
      <w:pPr>
        <w:jc w:val="left"/>
      </w:pPr>
      <w:r>
        <w:t>Direktkondiktion zwischen Anweisendem und Empfänger.</w:t>
      </w:r>
    </w:p>
    <w:p>
      <w:pPr>
        <w:jc w:val="left"/>
      </w:pPr>
      <w:r>
        <w:t>Konsequenz:</w:t>
      </w:r>
    </w:p>
    <w:p>
      <w:pPr>
        <w:pStyle w:val="ListBullet"/>
      </w:pPr>
      <w:r>
        <w:t xml:space="preserve">Die </w:t>
      </w:r>
      <w:r>
        <w:rPr>
          <w:b/>
        </w:rPr>
        <w:t>Volksbank Bonn</w:t>
      </w:r>
      <w:r>
        <w:t xml:space="preserve"> kondiziert gegen den </w:t>
      </w:r>
      <w:r>
        <w:rPr>
          <w:b/>
        </w:rPr>
        <w:t>Empfänger</w:t>
      </w:r>
      <w:r>
        <w:t xml:space="preserve"> (Schmiedeknecht-KG),</w:t>
      </w:r>
    </w:p>
    <w:p>
      <w:pPr>
        <w:jc w:val="left"/>
      </w:pPr>
      <w:r>
        <w:t>wenn im Zuwendungsverhältnis keine wirksame Anweisung vorlag.</w:t>
      </w:r>
    </w:p>
    <w:p>
      <w:pPr>
        <w:pStyle w:val="ListBullet"/>
      </w:pPr>
      <w:r>
        <w:rPr>
          <w:b/>
        </w:rPr>
        <w:t>Bischof-Hellberg</w:t>
      </w:r>
      <w:r>
        <w:t xml:space="preserve"> kondiziert gegen die </w:t>
      </w:r>
      <w:r>
        <w:rPr>
          <w:b/>
        </w:rPr>
        <w:t>Volksbank Bonn</w:t>
      </w:r>
    </w:p>
    <w:p>
      <w:pPr>
        <w:jc w:val="left"/>
      </w:pPr>
      <w:r>
        <w:t>(Rückbuchungsanspruch wegen ungerechtfertigter Kontobelastung).</w:t>
      </w:r>
    </w:p>
    <w:p>
      <w:pPr>
        <w:pStyle w:val="Heading3"/>
      </w:pPr>
      <w:r>
        <w:rPr>
          <w:rFonts w:ascii="Times New Roman" w:hAnsi="Times New Roman"/>
        </w:rPr>
        <w:t>3.2 Ausnahme: Direktkondiktion</w:t>
      </w:r>
    </w:p>
    <w:p>
      <w:pPr>
        <w:jc w:val="left"/>
      </w:pPr>
      <w:r>
        <w:t xml:space="preserve">Eine </w:t>
      </w:r>
      <w:r>
        <w:rPr>
          <w:b/>
        </w:rPr>
        <w:t>Direktkondiktion</w:t>
      </w:r>
      <w:r>
        <w:t xml:space="preserve"> (Bischof-Hellberg gegen Schmiedeknecht-KG) kommt</w:t>
      </w:r>
    </w:p>
    <w:p>
      <w:pPr>
        <w:jc w:val="left"/>
      </w:pPr>
      <w:r>
        <w:t>nach BGH nur ausnahmsweise in Betracht, wenn:</w:t>
      </w:r>
    </w:p>
    <w:p>
      <w:pPr>
        <w:pStyle w:val="ListNumber"/>
      </w:pPr>
      <w:r>
        <w:t>Der Empfänger die Nichtigkeit des Anweisungsverhältnisses kannte oder</w:t>
      </w:r>
    </w:p>
    <w:p>
      <w:pPr>
        <w:jc w:val="left"/>
      </w:pPr>
      <w:r>
        <w:t>kennen musste (bösgläubiger Empfänger), oder</w:t>
      </w:r>
    </w:p>
    <w:p>
      <w:pPr>
        <w:pStyle w:val="ListNumber"/>
      </w:pPr>
      <w:r>
        <w:t>Der Empfänger im Zeitpunkt des Empfangs nicht schutzwürdig war.</w:t>
      </w:r>
    </w:p>
    <w:p>
      <w:pPr>
        <w:jc w:val="left"/>
      </w:pPr>
      <w:r>
        <w:t>Im vorliegenden Fall:</w:t>
      </w:r>
    </w:p>
    <w:p>
      <w:pPr>
        <w:pStyle w:val="ListBullet"/>
      </w:pPr>
      <w:r>
        <w:t>Schmiedeknecht-KG hatte keine Kenntnis vom Irrtum des Bischof-Hellberg</w:t>
      </w:r>
    </w:p>
    <w:p>
      <w:pPr>
        <w:pStyle w:val="ListBullet"/>
      </w:pPr>
      <w:r>
        <w:t>Empfang erfolgte im Rahmen eines — ggf. wirksamen — Werkvertrags</w:t>
      </w:r>
    </w:p>
    <w:p>
      <w:pPr>
        <w:pStyle w:val="ListBullet"/>
      </w:pPr>
      <w:r>
        <w:rPr>
          <w:b/>
        </w:rPr>
        <w:t>Direktkondiktion grundsätzlich ausgeschlossen</w:t>
      </w:r>
    </w:p>
    <w:p>
      <w:pPr>
        <w:pStyle w:val="Heading3"/>
      </w:pPr>
      <w:r>
        <w:rPr>
          <w:rFonts w:ascii="Times New Roman" w:hAnsi="Times New Roman"/>
        </w:rPr>
        <w:t>3.3 Ergebnis und Rückabwicklung</w:t>
      </w:r>
    </w:p>
    <w:p>
      <w:pPr>
        <w:jc w:val="left"/>
      </w:pPr>
      <w:r>
        <w:rPr>
          <w:b/>
        </w:rPr>
        <w:t>Primäranspruch:</w:t>
      </w:r>
      <w:r>
        <w:t xml:space="preserve"> Volksbank Bonn gegen Schmiedeknecht-KG auf Rückzahlung</w:t>
      </w:r>
    </w:p>
    <w:p>
      <w:pPr>
        <w:jc w:val="left"/>
      </w:pPr>
      <w:r>
        <w:t>78.000 EUR (Paragraf 812 Abs. 1 S. 1 1. Alt. BGB),</w:t>
      </w:r>
    </w:p>
    <w:p>
      <w:pPr>
        <w:jc w:val="left"/>
      </w:pPr>
      <w:r>
        <w:t>sofern Schmiedeknecht-KG kein schützenswerter Gegeneinwand aus Werkvertrag.</w:t>
      </w:r>
    </w:p>
    <w:p>
      <w:pPr>
        <w:jc w:val="left"/>
      </w:pPr>
      <w:r>
        <w:rPr>
          <w:b/>
        </w:rPr>
        <w:t>Sekundäranspruch:</w:t>
      </w:r>
      <w:r>
        <w:t xml:space="preserve"> Bischof-Hellberg gegen Volksbank Bonn auf</w:t>
      </w:r>
    </w:p>
    <w:p>
      <w:pPr>
        <w:jc w:val="left"/>
      </w:pPr>
      <w:r>
        <w:t>Gutschrift/Schadensersatz (Paragraf 675u BGB i.V.m. Kontopflichtverletzung),</w:t>
      </w:r>
    </w:p>
    <w:p>
      <w:pPr>
        <w:jc w:val="left"/>
      </w:pPr>
      <w:r>
        <w:t>soweit die Kontobelastung unberechtigt war.</w:t>
      </w:r>
    </w:p>
    <w:p/>
    <w:p>
      <w:pPr>
        <w:pStyle w:val="Heading2"/>
      </w:pPr>
      <w:r>
        <w:rPr>
          <w:rFonts w:ascii="Times New Roman" w:hAnsi="Times New Roman"/>
        </w:rPr>
        <w:t>4. Einwand des Schmiedeknecht: Wegfall der Bereicherung (Paragraf 818 Abs. 3 BGB)</w:t>
      </w:r>
    </w:p>
    <w:p>
      <w:pPr>
        <w:jc w:val="left"/>
      </w:pPr>
      <w:r>
        <w:t>Die Schmiedeknecht-Restaurations-KG wird einwenden, sie habe die 78.000 EUR</w:t>
      </w:r>
    </w:p>
    <w:p>
      <w:pPr>
        <w:jc w:val="left"/>
      </w:pPr>
      <w:r>
        <w:t>für Material und Löhne zur Durchführung der Restaurierungsarbeiten aufgewendet,</w:t>
      </w:r>
    </w:p>
    <w:p>
      <w:pPr>
        <w:jc w:val="left"/>
      </w:pPr>
      <w:r>
        <w:t>so dass die Bereicherung weggefallen sei (Paragraf 818 Abs. 3 BGB).</w:t>
      </w:r>
    </w:p>
    <w:p>
      <w:pPr>
        <w:jc w:val="left"/>
      </w:pPr>
      <w:r>
        <w:rPr>
          <w:b/>
        </w:rPr>
        <w:t>Gegenargument:</w:t>
      </w:r>
    </w:p>
    <w:p>
      <w:pPr>
        <w:pStyle w:val="ListBullet"/>
      </w:pPr>
      <w:r>
        <w:t>Hat die Schmiedeknecht-KG einen fälligen Werklohnanspruch aus dem Werkvertrag</w:t>
      </w:r>
    </w:p>
    <w:p>
      <w:pPr>
        <w:jc w:val="left"/>
      </w:pPr>
      <w:r>
        <w:t>(Paragraf 631 BGB), liegt kein Wegfall der Bereicherung vor, sondern eine</w:t>
      </w:r>
    </w:p>
    <w:p>
      <w:pPr>
        <w:jc w:val="left"/>
      </w:pPr>
      <w:r>
        <w:t>Erfüllung einer Schuld.</w:t>
      </w:r>
    </w:p>
    <w:p>
      <w:pPr>
        <w:pStyle w:val="ListBullet"/>
      </w:pPr>
      <w:r>
        <w:t>Ist der Werkvertrag nichtig oder nicht entstanden, dann könnten tatsächlich</w:t>
      </w:r>
    </w:p>
    <w:p>
      <w:pPr>
        <w:jc w:val="left"/>
      </w:pPr>
      <w:r>
        <w:t>Aufwendungen „frustriert" sein — hier ist Paragraf 818 Abs. 3 BGB grundsätzlich</w:t>
      </w:r>
    </w:p>
    <w:p>
      <w:pPr>
        <w:jc w:val="left"/>
      </w:pPr>
      <w:r>
        <w:t>anwendbar, aber die Darlegungs- und Beweislast liegt bei Schmiedeknecht.</w:t>
      </w:r>
    </w:p>
    <w:p>
      <w:pPr>
        <w:jc w:val="left"/>
      </w:pPr>
      <w:r>
        <w:rPr>
          <w:b/>
        </w:rPr>
        <w:t>Verschärfte Haftung:</w:t>
      </w:r>
      <w:r>
        <w:t xml:space="preserve"> Erlangte Schmiedeknecht-KG Kenntnis vom Anfechtungsgrund</w:t>
      </w:r>
    </w:p>
    <w:p>
      <w:pPr>
        <w:jc w:val="left"/>
      </w:pPr>
      <w:r>
        <w:t>(Irrtum Bischof-Hellberg), greift Paragraf 819 Abs. 1 BGB — Wegfall der</w:t>
      </w:r>
    </w:p>
    <w:p>
      <w:pPr>
        <w:jc w:val="left"/>
      </w:pPr>
      <w:r>
        <w:t>Bereicherung nach Kenntniserlangung ist unbeachtlich.</w:t>
      </w:r>
    </w:p>
    <w:p/>
    <w:p>
      <w:pPr>
        <w:pStyle w:val="Heading2"/>
      </w:pPr>
      <w:r>
        <w:rPr>
          <w:rFonts w:ascii="Times New Roman" w:hAnsi="Times New Roman"/>
        </w:rPr>
        <w:t>5. Werkvertragsansprüche der Schmiedeknecht-KG</w:t>
      </w:r>
    </w:p>
    <w:p>
      <w:pPr>
        <w:jc w:val="left"/>
      </w:pPr>
      <w:r>
        <w:t>Parallel zur bereicherungsrechtlichen Rückabwicklung stehen werkvertragliche</w:t>
      </w:r>
    </w:p>
    <w:p>
      <w:pPr>
        <w:jc w:val="left"/>
      </w:pPr>
      <w:r>
        <w:t>Ansprüche der Schmiedeknecht-KG (Paragraf 631 BGB) im Raum,</w:t>
      </w:r>
    </w:p>
    <w:p>
      <w:pPr>
        <w:jc w:val="left"/>
      </w:pPr>
      <w:r>
        <w:t>sofern der Werkvertrag wirksam zustande gekommen ist und die Arbeiten</w:t>
      </w:r>
    </w:p>
    <w:p>
      <w:pPr>
        <w:jc w:val="left"/>
      </w:pPr>
      <w:r>
        <w:t>vertragsgemäß erbracht wurden.</w:t>
      </w:r>
    </w:p>
    <w:p>
      <w:pPr>
        <w:jc w:val="left"/>
      </w:pPr>
      <w:r>
        <w:t>Wurde der Mercedes-Benz 300 SL hingegen — wie hier möglicherweise —</w:t>
      </w:r>
    </w:p>
    <w:p>
      <w:pPr>
        <w:jc w:val="left"/>
      </w:pPr>
      <w:r>
        <w:t>an die falsche Werkstatt gegeben, ist zu prüfen, ob:</w:t>
      </w:r>
    </w:p>
    <w:p>
      <w:pPr>
        <w:pStyle w:val="ListBullet"/>
      </w:pPr>
      <w:r>
        <w:t>Bischof-Hellberg der Irrtum über die Person des Auftragnehmers unterlief</w:t>
      </w:r>
    </w:p>
    <w:p>
      <w:pPr>
        <w:jc w:val="left"/>
      </w:pPr>
      <w:r>
        <w:t>(Paragraf 119 Abs. 2 BGB: Eigenschaftsirrtum über wesentliche Eigenschaften</w:t>
      </w:r>
    </w:p>
    <w:p>
      <w:pPr>
        <w:jc w:val="left"/>
      </w:pPr>
      <w:r>
        <w:t>einer Person ist relevant), oder</w:t>
      </w:r>
    </w:p>
    <w:p>
      <w:pPr>
        <w:pStyle w:val="ListBullet"/>
      </w:pPr>
      <w:r>
        <w:t>Eine reine Willenserklärung über den Vertragsgegenstand vorliegt.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BGH, Urteil v. 31.10.1963, VII ZR 285/61 = BGHZ 40, 272 (Anweisungsfälle): https://openjur.de</w:t>
      </w:r>
    </w:p>
    <w:p>
      <w:pPr>
        <w:pStyle w:val="ListBullet"/>
      </w:pPr>
      <w:r>
        <w:t>BGH NJW 2008, 1369 (Dreiecksfall Direktkondiktion): https://openjur.de</w:t>
      </w:r>
    </w:p>
    <w:p>
      <w:pPr>
        <w:pStyle w:val="ListBullet"/>
      </w:pPr>
      <w:r>
        <w:t>Paragraf 812 BGB: https://dejure.org/gesetze/BGB/812.html</w:t>
      </w:r>
    </w:p>
    <w:p>
      <w:pPr>
        <w:pStyle w:val="ListBullet"/>
      </w:pPr>
      <w:r>
        <w:t>Paragraf 818 BGB: https://dejure.org/gesetze/BGB/818.html</w:t>
      </w:r>
    </w:p>
    <w:p>
      <w:pPr>
        <w:pStyle w:val="ListBullet"/>
      </w:pPr>
      <w:r>
        <w:t>Paragraf 783 BGB: https://dejure.org/gesetze/BGB/783.html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