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06 Insolvenzanfechtung — Vorsatzanfechtung (Paragraf 133 InsO)</w:t>
      </w:r>
    </w:p>
    <w:p>
      <w:pPr>
        <w:jc w:val="left"/>
      </w:pPr>
      <w:r>
        <w:rPr>
          <w:b/>
        </w:rPr>
        <w:t>Aktenzeichen:</w:t>
      </w:r>
      <w:r>
        <w:t xml:space="preserve"> AG Hamburg 67 IN 88/26</w:t>
      </w:r>
    </w:p>
    <w:p>
      <w:pPr>
        <w:jc w:val="left"/>
      </w:pPr>
      <w:r>
        <w:rPr>
          <w:b/>
        </w:rPr>
        <w:t>Insolvenzverwalterin:</w:t>
      </w:r>
      <w:r>
        <w:t xml:space="preserve"> RAin Dr. Sigrid Drosselberg</w:t>
      </w:r>
    </w:p>
    <w:p>
      <w:pPr>
        <w:jc w:val="left"/>
      </w:pPr>
      <w:r>
        <w:rPr>
          <w:b/>
        </w:rPr>
        <w:t>Anfechtungsgegner:</w:t>
      </w:r>
      <w:r>
        <w:t xml:space="preserve"> Dr. Reinhart Bischof-Hellberg</w:t>
      </w:r>
    </w:p>
    <w:p>
      <w:pPr>
        <w:jc w:val="left"/>
      </w:pPr>
      <w:r>
        <w:rPr>
          <w:b/>
        </w:rPr>
        <w:t>Gegenstand:</w:t>
      </w:r>
      <w:r>
        <w:t xml:space="preserve"> Vorsatzanfechtung Kaufpreiszahlungen und Übereignung 300 SL</w:t>
      </w:r>
    </w:p>
    <w:p/>
    <w:p>
      <w:pPr>
        <w:pStyle w:val="Heading2"/>
      </w:pPr>
      <w:r>
        <w:rPr>
          <w:rFonts w:ascii="Times New Roman" w:hAnsi="Times New Roman"/>
        </w:rPr>
        <w:t>1. Rechtliche Grundlage: Paragraf 133 InsO</w:t>
      </w:r>
    </w:p>
    <w:p>
      <w:pPr>
        <w:pStyle w:val="Heading3"/>
      </w:pPr>
      <w:r>
        <w:rPr>
          <w:rFonts w:ascii="Times New Roman" w:hAnsi="Times New Roman"/>
        </w:rPr>
        <w:t>1.1 Tatbestand</w:t>
      </w:r>
    </w:p>
    <w:p>
      <w:pPr>
        <w:jc w:val="left"/>
      </w:pPr>
      <w:r>
        <w:rPr>
          <w:b/>
        </w:rPr>
        <w:t>Paragraf 133 Abs. 1 InsO:</w:t>
      </w:r>
    </w:p>
    <w:p>
      <w:pPr>
        <w:jc w:val="left"/>
      </w:pPr>
      <w:r>
        <w:t>Eine Rechtshandlung, die der Schuldner in den letzten zehn Jahren vor dem</w:t>
      </w:r>
    </w:p>
    <w:p>
      <w:pPr>
        <w:jc w:val="left"/>
      </w:pPr>
      <w:r>
        <w:t>Antrag auf Eröffnung des Insolvenzverfahrens oder nach diesem Antrag vorgenommen hat,</w:t>
      </w:r>
    </w:p>
    <w:p>
      <w:pPr>
        <w:jc w:val="left"/>
      </w:pPr>
      <w:r>
        <w:t>ist anfechtbar, wenn:</w:t>
      </w:r>
    </w:p>
    <w:p>
      <w:pPr>
        <w:pStyle w:val="ListNumber"/>
      </w:pPr>
      <w:r>
        <w:t>der Schuldner mit dem Vorsatz gehandelt hat, seine Gläubiger zu benachteiligen, und</w:t>
      </w:r>
    </w:p>
    <w:p>
      <w:pPr>
        <w:pStyle w:val="ListNumber"/>
      </w:pPr>
      <w:r>
        <w:t>der andere Teil zur Zeit der Handlung den Vorsatz des Schuldners kannte.</w:t>
      </w:r>
    </w:p>
    <w:p>
      <w:pPr>
        <w:jc w:val="left"/>
      </w:pPr>
      <w:r>
        <w:rPr>
          <w:b/>
        </w:rPr>
        <w:t>Paragraf 133 Abs. 3 S. 1 InsO (Vermutungsregel):</w:t>
      </w:r>
    </w:p>
    <w:p>
      <w:pPr>
        <w:jc w:val="left"/>
      </w:pPr>
      <w:r>
        <w:t>Hat der andere Teil gewusst, dass die Zahlungsunfähigkeit des Schuldners drohte,</w:t>
      </w:r>
    </w:p>
    <w:p>
      <w:pPr>
        <w:jc w:val="left"/>
      </w:pPr>
      <w:r>
        <w:t>und dass die Handlung die Insolvenzgläubiger benachteiligte, wird vermutet,</w:t>
      </w:r>
    </w:p>
    <w:p>
      <w:pPr>
        <w:jc w:val="left"/>
      </w:pPr>
      <w:r>
        <w:t>dass er den Vorsatz des Schuldners kannte.</w:t>
      </w:r>
    </w:p>
    <w:p/>
    <w:p>
      <w:pPr>
        <w:pStyle w:val="Heading2"/>
      </w:pPr>
      <w:r>
        <w:rPr>
          <w:rFonts w:ascii="Times New Roman" w:hAnsi="Times New Roman"/>
        </w:rPr>
        <w:t>2. Zeitliche Prüfung</w:t>
      </w:r>
    </w:p>
    <w:p>
      <w:pPr>
        <w:jc w:val="left"/>
      </w:pPr>
      <w:r>
        <w:t>Alle relevanten Rechtshandlungen (März/April 2025) liegen innerhalb der</w:t>
      </w:r>
    </w:p>
    <w:p>
      <w:pPr>
        <w:jc w:val="left"/>
      </w:pPr>
      <w:r>
        <w:t>10-Jahres-Frist des Paragrafen 133 Abs. 1 InsO (Insolvenzantrag: 01.09.2025).</w:t>
      </w:r>
    </w:p>
    <w:p>
      <w:pPr>
        <w:jc w:val="left"/>
      </w:pPr>
      <w:r>
        <w:rPr>
          <w:b/>
        </w:rPr>
        <w:t>Zeitliches Erfordernis erfüllt.</w:t>
      </w:r>
      <w:r>
        <w:t xml:space="preserve"> ✓</w:t>
      </w:r>
    </w:p>
    <w:p/>
    <w:p>
      <w:pPr>
        <w:pStyle w:val="Heading2"/>
      </w:pPr>
      <w:r>
        <w:rPr>
          <w:rFonts w:ascii="Times New Roman" w:hAnsi="Times New Roman"/>
        </w:rPr>
        <w:t>3. Benachteiligungsvorsatz des Trappenfels</w:t>
      </w:r>
    </w:p>
    <w:p>
      <w:pPr>
        <w:jc w:val="left"/>
      </w:pPr>
      <w:r>
        <w:rPr>
          <w:b/>
        </w:rPr>
        <w:t>Direkte Benachteiligungsabsicht:</w:t>
      </w:r>
    </w:p>
    <w:p>
      <w:pPr>
        <w:jc w:val="left"/>
      </w:pPr>
      <w:r>
        <w:t>Die Insolvenzverwalterin trägt die Beweislast für den Benachteiligungsvorsatz.</w:t>
      </w:r>
    </w:p>
    <w:p>
      <w:pPr>
        <w:jc w:val="left"/>
      </w:pPr>
      <w:r>
        <w:t>Der BGH hat in ständiger Rechtsprechung (BGHZ 155, 75; BGH NJW 2004, 1385;</w:t>
      </w:r>
    </w:p>
    <w:p>
      <w:pPr>
        <w:jc w:val="left"/>
      </w:pPr>
      <w:r>
        <w:t>BGH IX ZR 228/03) folgende Indizien für den Benachteiligungsvorsatz entwickelt:</w:t>
      </w:r>
    </w:p>
    <w:p>
      <w:pPr>
        <w:jc w:val="left"/>
      </w:pPr>
      <w:r>
        <w:rPr>
          <w:b/>
        </w:rPr>
        <w:t>Indizien PRO Benachteiligungsvorsatz (Paragraf 133 InsO):</w:t>
      </w:r>
    </w:p>
    <w:p>
      <w:pPr>
        <w:jc w:val="left"/>
      </w:pPr>
      <w:r>
        <w:t xml:space="preserve">a) </w:t>
      </w:r>
      <w:r>
        <w:rPr>
          <w:b/>
        </w:rPr>
        <w:t>Drohende Zahlungsunfähigkeit bekannt:</w:t>
      </w:r>
    </w:p>
    <w:p>
      <w:pPr>
        <w:pStyle w:val="ListBullet"/>
      </w:pPr>
      <w:r>
        <w:t>Trappenfels konnte den Restkaufpreis von 750.000 EUR nicht mehr zahlen</w:t>
      </w:r>
    </w:p>
    <w:p>
      <w:pPr>
        <w:pStyle w:val="ListBullet"/>
      </w:pPr>
      <w:r>
        <w:t>Intern musste ihm seine Liquiditätsproblematik seit spätestens Juli 2025 bekannt sein</w:t>
      </w:r>
    </w:p>
    <w:p>
      <w:pPr>
        <w:pStyle w:val="ListBullet"/>
      </w:pPr>
      <w:r>
        <w:t>Zahlung der Anzahlung in voller Höhe trotz angespannter Liquiditätslage</w:t>
      </w:r>
    </w:p>
    <w:p>
      <w:pPr>
        <w:jc w:val="left"/>
      </w:pPr>
      <w:r>
        <w:t>als Indiz für „Flucht in den Kaufvertrag"</w:t>
      </w:r>
    </w:p>
    <w:p>
      <w:pPr>
        <w:jc w:val="left"/>
      </w:pPr>
      <w:r>
        <w:t xml:space="preserve">b) </w:t>
      </w:r>
      <w:r>
        <w:rPr>
          <w:b/>
        </w:rPr>
        <w:t>Wertverlust zu Gunsten des Verkäufers:</w:t>
      </w:r>
    </w:p>
    <w:p>
      <w:pPr>
        <w:pStyle w:val="ListBullet"/>
      </w:pPr>
      <w:r>
        <w:t>Trappenfels zahlte 1.050.000 EUR (850.000 + 200.000 EUR) und erhielt</w:t>
      </w:r>
    </w:p>
    <w:p>
      <w:pPr>
        <w:jc w:val="left"/>
      </w:pPr>
      <w:r>
        <w:t>ein Fahrzeug im Wert von 1.800.000 EUR → theoretisch vorteilhaft</w:t>
      </w:r>
    </w:p>
    <w:p>
      <w:pPr>
        <w:pStyle w:val="ListBullet"/>
      </w:pPr>
      <w:r>
        <w:t>Das Fahrzeug verbrannte jedoch 2 Tage nach Lieferung</w:t>
      </w:r>
    </w:p>
    <w:p>
      <w:pPr>
        <w:pStyle w:val="ListBullet"/>
      </w:pPr>
      <w:r>
        <w:t>Versicherungsansprüche: Sofern kein ausreichender Versicherungsschutz bestand,</w:t>
      </w:r>
    </w:p>
    <w:p>
      <w:pPr>
        <w:jc w:val="left"/>
      </w:pPr>
      <w:r>
        <w:t>erlitt die Insolvenzmasse effektiv 1.050.000 EUR Verlust ohne Gegenwert</w:t>
      </w:r>
    </w:p>
    <w:p>
      <w:pPr>
        <w:jc w:val="left"/>
      </w:pPr>
      <w:r>
        <w:t xml:space="preserve">c) </w:t>
      </w:r>
      <w:r>
        <w:rPr>
          <w:b/>
        </w:rPr>
        <w:t>Ungewöhnliche Abwicklungsmodalitäten:</w:t>
      </w:r>
    </w:p>
    <w:p>
      <w:pPr>
        <w:pStyle w:val="ListBullet"/>
      </w:pPr>
      <w:r>
        <w:t>Extrem kurze Lieferfrist (14 Tage zwischen zweitem Kaufvertrag und Übergabe)</w:t>
      </w:r>
    </w:p>
    <w:p>
      <w:pPr>
        <w:pStyle w:val="ListBullet"/>
      </w:pPr>
      <w:r>
        <w:t>Kein vollständiger Kaufpreisausgleich bei Übergabe</w:t>
      </w:r>
    </w:p>
    <w:p>
      <w:pPr>
        <w:pStyle w:val="ListBullet"/>
      </w:pPr>
      <w:r>
        <w:t>Fehlende Eigentumsvorbehaltssicherung des Bischof-Hellberg</w:t>
      </w:r>
    </w:p>
    <w:p>
      <w:pPr>
        <w:jc w:val="left"/>
      </w:pPr>
      <w:r>
        <w:rPr>
          <w:b/>
        </w:rPr>
        <w:t>Indizien CONTRA Benachteiligungsvorsatz:</w:t>
      </w:r>
    </w:p>
    <w:p>
      <w:pPr>
        <w:jc w:val="left"/>
      </w:pPr>
      <w:r>
        <w:t>a) Kaufvertrag über werthaltiges Objekt (1.800.000 EUR Fahrzeugwert bei 1.050.000 EUR Zahlung)</w:t>
      </w:r>
    </w:p>
    <w:p>
      <w:pPr>
        <w:jc w:val="left"/>
      </w:pPr>
      <w:r>
        <w:t>b) Keine Anzeichen von Liquiditätsproblemen im März 2025 aus Sicht Dritter</w:t>
      </w:r>
    </w:p>
    <w:p>
      <w:pPr>
        <w:jc w:val="left"/>
      </w:pPr>
      <w:r>
        <w:t>c) Regulärer Kaufvertrag über ein normales Erwerbsobjekt</w:t>
      </w:r>
    </w:p>
    <w:p/>
    <w:p>
      <w:pPr>
        <w:pStyle w:val="Heading2"/>
      </w:pPr>
      <w:r>
        <w:rPr>
          <w:rFonts w:ascii="Times New Roman" w:hAnsi="Times New Roman"/>
        </w:rPr>
        <w:t>4. Kenntnis des Bischof-Hellberg vom Benachteiligungsvorsatz</w:t>
      </w:r>
    </w:p>
    <w:p>
      <w:pPr>
        <w:jc w:val="left"/>
      </w:pPr>
      <w:r>
        <w:t>Selbst wenn Benachteiligungsvorsatz des Trappenfels vorläge, müsste Bischof-Hellberg</w:t>
      </w:r>
    </w:p>
    <w:p>
      <w:pPr>
        <w:jc w:val="left"/>
      </w:pPr>
      <w:r>
        <w:t xml:space="preserve">diesen </w:t>
      </w:r>
      <w:r>
        <w:rPr>
          <w:b/>
        </w:rPr>
        <w:t>zur Zeit der Handlung</w:t>
      </w:r>
      <w:r>
        <w:t xml:space="preserve"> (Übereignung 28.03.2025) gekannt haben.</w:t>
      </w:r>
    </w:p>
    <w:p>
      <w:pPr>
        <w:jc w:val="left"/>
      </w:pPr>
      <w:r>
        <w:rPr>
          <w:b/>
        </w:rPr>
        <w:t>Bewertung:</w:t>
      </w:r>
    </w:p>
    <w:p>
      <w:pPr>
        <w:pStyle w:val="ListBullet"/>
      </w:pPr>
      <w:r>
        <w:t>Keinerlei Anhaltspunkte für Liquiditätsprobleme des Trappenfels im März 2025</w:t>
      </w:r>
    </w:p>
    <w:p>
      <w:pPr>
        <w:pStyle w:val="ListBullet"/>
      </w:pPr>
      <w:r>
        <w:t>Trappenfels trat als solventer Käufer auf (volle Anzahlung 850.000 EUR)</w:t>
      </w:r>
    </w:p>
    <w:p>
      <w:pPr>
        <w:pStyle w:val="ListBullet"/>
      </w:pPr>
      <w:r>
        <w:t>Keine ungewöhnlichen Zahlungsschwierigkeiten vor Übereignung</w:t>
      </w:r>
    </w:p>
    <w:p>
      <w:pPr>
        <w:jc w:val="left"/>
      </w:pPr>
      <w:r>
        <w:rPr>
          <w:b/>
        </w:rPr>
        <w:t>Ergebnis:</w:t>
      </w:r>
      <w:r>
        <w:t xml:space="preserve"> Selbst bei Annahme eines Benachteiligungsvorsatzes des Trappenfels</w:t>
      </w:r>
    </w:p>
    <w:p>
      <w:pPr>
        <w:jc w:val="left"/>
      </w:pPr>
      <w:r>
        <w:t>ist Bischof-Hellbergs Kenntnis davon im März 2025 nicht nachweisbar.</w:t>
      </w:r>
    </w:p>
    <w:p/>
    <w:p>
      <w:pPr>
        <w:pStyle w:val="Heading2"/>
      </w:pPr>
      <w:r>
        <w:rPr>
          <w:rFonts w:ascii="Times New Roman" w:hAnsi="Times New Roman"/>
        </w:rPr>
        <w:t>5. Gläubigerbenachteiligung</w:t>
      </w:r>
    </w:p>
    <w:p>
      <w:pPr>
        <w:jc w:val="left"/>
      </w:pPr>
      <w:r>
        <w:rPr>
          <w:b/>
        </w:rPr>
        <w:t>Unmittelbare Gläubigerbenachteiligung (Paragraf 129 InsO):</w:t>
      </w:r>
    </w:p>
    <w:p>
      <w:pPr>
        <w:jc w:val="left"/>
      </w:pPr>
      <w:r>
        <w:t>Die Übereignung des 300 SL hat das Aktivvermögen der (späteren) Insolvenzmasse</w:t>
      </w:r>
    </w:p>
    <w:p>
      <w:pPr>
        <w:jc w:val="left"/>
      </w:pPr>
      <w:r>
        <w:t>vermindert. Gleichzeitig war die Kaufpreiszahlung wirtschaftlich äquivalent</w:t>
      </w:r>
    </w:p>
    <w:p>
      <w:pPr>
        <w:jc w:val="left"/>
      </w:pPr>
      <w:r>
        <w:t>(Grundsatz: vollwertiges Äquivalent = keine Gläubigerbenachteiligung).</w:t>
      </w:r>
    </w:p>
    <w:p>
      <w:pPr>
        <w:jc w:val="left"/>
      </w:pPr>
      <w:r>
        <w:t>Problem: Der 300 SL verbrannte nach Übereignung. Aus Sicht der Insolvenzmasse:</w:t>
      </w:r>
    </w:p>
    <w:p>
      <w:pPr>
        <w:pStyle w:val="ListBullet"/>
      </w:pPr>
      <w:r>
        <w:t>Kaufpreis bezahlt (1.050.000 EUR aus Insolvenzmasse abgeflossen)</w:t>
      </w:r>
    </w:p>
    <w:p>
      <w:pPr>
        <w:pStyle w:val="ListBullet"/>
      </w:pPr>
      <w:r>
        <w:t>Fahrzeug erhalten, aber sofort untergegangen</w:t>
      </w:r>
    </w:p>
    <w:p>
      <w:pPr>
        <w:pStyle w:val="ListBullet"/>
      </w:pPr>
      <w:r>
        <w:t>Versicherungsanspruch (sofern vorhanden): würde zur Insolvenzmasse gehören</w:t>
      </w:r>
    </w:p>
    <w:p>
      <w:pPr>
        <w:pStyle w:val="ListBullet"/>
      </w:pPr>
      <w:r>
        <w:t>Bereicherungsanspruch gegen Bischof-Hellberg (Paragraf 818 Abs. 2 BGB):</w:t>
      </w:r>
    </w:p>
    <w:p>
      <w:pPr>
        <w:jc w:val="left"/>
      </w:pPr>
      <w:r>
        <w:t>ebenfalls Teil der Insolvenzmasse</w:t>
      </w:r>
    </w:p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Paragraf 133 InsO: https://dejure.org/gesetze/InsO/133.html</w:t>
      </w:r>
    </w:p>
    <w:p>
      <w:pPr>
        <w:pStyle w:val="ListBullet"/>
      </w:pPr>
      <w:r>
        <w:t>Paragraf 129 InsO: https://dejure.org/gesetze/InsO/129.html</w:t>
      </w:r>
    </w:p>
    <w:p>
      <w:pPr>
        <w:pStyle w:val="ListBullet"/>
      </w:pPr>
      <w:r>
        <w:t>BGH, Urteil v. 18.03.2010, IX ZR 57/09 = NJW 2010, 2517 (Vorsatzanfechtung): https://bundesgerichtshof.de</w:t>
      </w:r>
    </w:p>
    <w:p>
      <w:pPr>
        <w:pStyle w:val="ListBullet"/>
      </w:pPr>
      <w:r>
        <w:t>BGH, Urteil v. 05.03.2015, IX ZR 133/14 = NJW 2015, 1677 (Benachteiligungsvorsatz): https://bundesgerichtshof.de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