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Insolvenzanfechtung — Rechtsfolgen und Rückgewährpflicht (Paragrafen 143, 144 InsO)</w:t>
      </w:r>
    </w:p>
    <w:p>
      <w:pPr>
        <w:jc w:val="left"/>
      </w:pPr>
      <w:r>
        <w:rPr>
          <w:b/>
        </w:rPr>
        <w:t>Aktenzeichen:</w:t>
      </w:r>
      <w:r>
        <w:t xml:space="preserve"> AG Hamburg 67 IN 88/26</w:t>
      </w:r>
    </w:p>
    <w:p>
      <w:pPr>
        <w:jc w:val="left"/>
      </w:pPr>
      <w:r>
        <w:rPr>
          <w:b/>
        </w:rPr>
        <w:t>Gegenstand:</w:t>
      </w:r>
      <w:r>
        <w:t xml:space="preserve"> Rechtsfolgen erfolgreicher Insolvenzanfechtung</w:t>
      </w:r>
    </w:p>
    <w:p/>
    <w:p>
      <w:pPr>
        <w:pStyle w:val="Heading2"/>
      </w:pPr>
      <w:r>
        <w:rPr>
          <w:rFonts w:ascii="Times New Roman" w:hAnsi="Times New Roman"/>
        </w:rPr>
        <w:t>1. Rechtsfolge der erfolgreichen Anfechtung</w:t>
      </w:r>
    </w:p>
    <w:p>
      <w:pPr>
        <w:pStyle w:val="Heading3"/>
      </w:pPr>
      <w:r>
        <w:rPr>
          <w:rFonts w:ascii="Times New Roman" w:hAnsi="Times New Roman"/>
        </w:rPr>
        <w:t>1.1 Paragraf 143 Abs. 1 InsO: Rückgewährpflicht</w:t>
      </w:r>
    </w:p>
    <w:p>
      <w:pPr>
        <w:jc w:val="left"/>
      </w:pPr>
      <w:r>
        <w:t>Was durch die anfechtbare Handlung aus dem Vermögen des Schuldners veräußert,</w:t>
      </w:r>
    </w:p>
    <w:p>
      <w:pPr>
        <w:jc w:val="left"/>
      </w:pPr>
      <w:r>
        <w:t>weggegeben oder aufgegeben ist, muss zur Insolvenzmasse zurückgewährt werden.</w:t>
      </w:r>
    </w:p>
    <w:p>
      <w:pPr>
        <w:jc w:val="left"/>
      </w:pPr>
      <w:r>
        <w:rPr>
          <w:b/>
        </w:rPr>
        <w:t>Im vorliegenden Fall:</w:t>
      </w:r>
    </w:p>
    <w:p>
      <w:pPr>
        <w:pStyle w:val="ListBullet"/>
      </w:pPr>
      <w:r>
        <w:t>Das Fahrzeug selbst kann nicht zurückgegeben werden (Untergang durch Brand)</w:t>
      </w:r>
    </w:p>
    <w:p>
      <w:pPr>
        <w:pStyle w:val="ListBullet"/>
      </w:pPr>
      <w:r>
        <w:t>Rückgewähr nach Paragraf 143 Abs. 1 S. 2 InsO i.V.m. Paragraf 818 Abs. 2 BGB:</w:t>
      </w:r>
    </w:p>
    <w:p>
      <w:pPr>
        <w:jc w:val="left"/>
      </w:pPr>
      <w:r>
        <w:t>Wertersatz in Höhe des Verkehrswerts zum Zeitpunkt der Anfechtungshandlung = 1.800.000 EUR</w:t>
      </w:r>
    </w:p>
    <w:p>
      <w:pPr>
        <w:pStyle w:val="Heading3"/>
      </w:pPr>
      <w:r>
        <w:rPr>
          <w:rFonts w:ascii="Times New Roman" w:hAnsi="Times New Roman"/>
        </w:rPr>
        <w:t>1.2 Paragraf 144 InsO: Gegenansprüche des Anfechtungsgegners</w:t>
      </w:r>
    </w:p>
    <w:p>
      <w:pPr>
        <w:jc w:val="left"/>
      </w:pPr>
      <w:r>
        <w:t>Hat der Anfechtungsgegner infolge der Anfechtung das Empfangene zurückzugewähren,</w:t>
      </w:r>
    </w:p>
    <w:p>
      <w:pPr>
        <w:jc w:val="left"/>
      </w:pPr>
      <w:r>
        <w:t>lebt seine Gegenforderung wieder auf (Paragraf 144 Abs. 1 InsO).</w:t>
      </w:r>
    </w:p>
    <w:p>
      <w:pPr>
        <w:jc w:val="left"/>
      </w:pPr>
      <w:r>
        <w:t>Konsequenz: Bischof-Hellberg würde bei erfolgreicher Anfechtung zwar 1.800.000 EUR</w:t>
      </w:r>
    </w:p>
    <w:p>
      <w:pPr>
        <w:jc w:val="left"/>
      </w:pPr>
      <w:r>
        <w:t>Wertersatz schulden, könnte aber seine Kaufpreisforderung (Rest: 750.000 EUR)</w:t>
      </w:r>
    </w:p>
    <w:p>
      <w:pPr>
        <w:jc w:val="left"/>
      </w:pPr>
      <w:r>
        <w:t>wieder als Insolvenzforderung anmelden.</w:t>
      </w:r>
    </w:p>
    <w:p>
      <w:pPr>
        <w:jc w:val="left"/>
      </w:pPr>
      <w:r>
        <w:t>Netto-Rückgewährpflicht: 1.800.000 EUR − 1.050.000 EUR (gezahlter Kaufpreis) = 750.000 EUR</w:t>
      </w:r>
    </w:p>
    <w:p>
      <w:pPr>
        <w:jc w:val="left"/>
      </w:pPr>
      <w:r>
        <w:t>(Drosselbergs vorrangige Berechnung — Bischof-Hellberg bestreitet dies).</w:t>
      </w:r>
    </w:p>
    <w:p/>
    <w:p>
      <w:pPr>
        <w:pStyle w:val="Heading2"/>
      </w:pPr>
      <w:r>
        <w:rPr>
          <w:rFonts w:ascii="Times New Roman" w:hAnsi="Times New Roman"/>
        </w:rPr>
        <w:t>2. Verjährung des Anfechtungsanspruchs</w:t>
      </w:r>
    </w:p>
    <w:p>
      <w:pPr>
        <w:jc w:val="left"/>
      </w:pPr>
      <w:r>
        <w:rPr>
          <w:b/>
        </w:rPr>
        <w:t>Paragraf 146 InsO:</w:t>
      </w:r>
    </w:p>
    <w:p>
      <w:pPr>
        <w:jc w:val="left"/>
      </w:pPr>
      <w:r>
        <w:t>Der Anfechtungsanspruch verjährt in drei Jahren nach Eröffnung des Insolvenzverfahrens.</w:t>
      </w:r>
    </w:p>
    <w:p>
      <w:pPr>
        <w:jc w:val="left"/>
      </w:pPr>
      <w:r>
        <w:t>Eröffnung: 15.10.2025 → Verjährungsfrist bis 15.10.2028.</w:t>
      </w:r>
    </w:p>
    <w:p>
      <w:pPr>
        <w:jc w:val="left"/>
      </w:pPr>
      <w:r>
        <w:t>Anfechtungsklage eingereicht: 20.01.2026 → rechtzeitig innerhalb der Verjährungsfrist.</w:t>
      </w:r>
    </w:p>
    <w:p/>
    <w:p>
      <w:pPr>
        <w:pStyle w:val="Heading2"/>
      </w:pPr>
      <w:r>
        <w:rPr>
          <w:rFonts w:ascii="Times New Roman" w:hAnsi="Times New Roman"/>
        </w:rPr>
        <w:t>3. Prozessuales</w:t>
      </w:r>
    </w:p>
    <w:p>
      <w:pPr>
        <w:jc w:val="left"/>
      </w:pPr>
      <w:r>
        <w:t>Anfechtungsklagen werden nach Paragraf 180 InsO beim allgemeinen Gericht erhoben,</w:t>
      </w:r>
    </w:p>
    <w:p>
      <w:pPr>
        <w:jc w:val="left"/>
      </w:pPr>
      <w:r>
        <w:t>das für den Anspruch zuständig wäre — hier also LG Hamburg (Streitwert &gt; 5.000 EUR,</w:t>
      </w:r>
    </w:p>
    <w:p>
      <w:pPr>
        <w:jc w:val="left"/>
      </w:pPr>
      <w:r>
        <w:t>Paragraf 71 GVG). Die Insolvenzverwalterin hat die Klage beim AG Hamburg erhoben;</w:t>
      </w:r>
    </w:p>
    <w:p>
      <w:pPr>
        <w:jc w:val="left"/>
      </w:pPr>
      <w:r>
        <w:t>dies ist zu überprüfen, da der Streitwert die sachliche Zuständigkeit des AG</w:t>
      </w:r>
    </w:p>
    <w:p>
      <w:pPr>
        <w:jc w:val="left"/>
      </w:pPr>
      <w:r>
        <w:t>(unter 5.000 EUR, Paragraf 23 GVG) überschreitet.</w:t>
      </w:r>
    </w:p>
    <w:p>
      <w:pPr>
        <w:jc w:val="left"/>
      </w:pPr>
      <w:r>
        <w:rPr>
          <w:b/>
        </w:rPr>
        <w:t>Hinweis:</w:t>
      </w:r>
      <w:r>
        <w:t xml:space="preserve"> Sofern das AG Hamburg die Klage übernimmt, wäre ein Verweisungsantrag</w:t>
      </w:r>
    </w:p>
    <w:p>
      <w:pPr>
        <w:jc w:val="left"/>
      </w:pPr>
      <w:r>
        <w:t>gem. Paragraf 281 ZPO an das LG Hamburg zu stellen.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143 InsO: https://dejure.org/gesetze/InsO/143.html</w:t>
      </w:r>
    </w:p>
    <w:p>
      <w:pPr>
        <w:pStyle w:val="ListBullet"/>
      </w:pPr>
      <w:r>
        <w:t>Paragraf 144 InsO: https://dejure.org/gesetze/InsO/144.html</w:t>
      </w:r>
    </w:p>
    <w:p>
      <w:pPr>
        <w:pStyle w:val="ListBullet"/>
      </w:pPr>
      <w:r>
        <w:t>Paragraf 146 InsO: https://dejure.org/gesetze/InsO/146.html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