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Saldotheorie vs. Zweikondiktionentheorie — Rückabwicklung Kaufvertrag</w:t>
      </w:r>
    </w:p>
    <w:p>
      <w:pPr>
        <w:jc w:val="left"/>
      </w:pPr>
      <w:r>
        <w:rPr>
          <w:b/>
        </w:rPr>
        <w:t>Aktenzeichen:</w:t>
      </w:r>
      <w:r>
        <w:t xml:space="preserve"> LG Bonn 16 O 211/26</w:t>
      </w:r>
    </w:p>
    <w:p>
      <w:pPr>
        <w:jc w:val="left"/>
      </w:pPr>
      <w:r>
        <w:rPr>
          <w:b/>
        </w:rPr>
        <w:t>Rechtsfrage:</w:t>
      </w:r>
      <w:r>
        <w:t xml:space="preserve"> Welche Theorie gilt bei der Rückabwicklung des Kaufvertrags Bischof-Hellberg / Bagheri-Aichholz?</w:t>
      </w:r>
    </w:p>
    <w:p/>
    <w:p>
      <w:pPr>
        <w:pStyle w:val="Heading2"/>
      </w:pPr>
      <w:r>
        <w:rPr>
          <w:rFonts w:ascii="Times New Roman" w:hAnsi="Times New Roman"/>
        </w:rPr>
        <w:t>1. Einführung: Die zwei Theorien</w:t>
      </w:r>
    </w:p>
    <w:p>
      <w:pPr>
        <w:jc w:val="left"/>
      </w:pPr>
      <w:r>
        <w:t>Nach Rücktritt vom Kaufvertrag oder bei nichtiger Vereinbarung ist zu klären,</w:t>
      </w:r>
    </w:p>
    <w:p>
      <w:pPr>
        <w:jc w:val="left"/>
      </w:pPr>
      <w:r>
        <w:t>ob die wechselseitig erbrachten Leistungen getrennt voneinander kondiziert werden</w:t>
      </w:r>
    </w:p>
    <w:p>
      <w:pPr>
        <w:jc w:val="left"/>
      </w:pPr>
      <w:r>
        <w:t>(Zweikondiktionentheorie) oder ob nur der Saldo des Vermögensunterschieds</w:t>
      </w:r>
    </w:p>
    <w:p>
      <w:pPr>
        <w:jc w:val="left"/>
      </w:pPr>
      <w:r>
        <w:t>ausgeglichen wird (Saldotheorie).</w:t>
      </w:r>
    </w:p>
    <w:p/>
    <w:p>
      <w:pPr>
        <w:pStyle w:val="Heading2"/>
      </w:pPr>
      <w:r>
        <w:rPr>
          <w:rFonts w:ascii="Times New Roman" w:hAnsi="Times New Roman"/>
        </w:rPr>
        <w:t>2. Saldotheorie</w:t>
      </w:r>
    </w:p>
    <w:p>
      <w:pPr>
        <w:pStyle w:val="Heading3"/>
      </w:pPr>
      <w:r>
        <w:rPr>
          <w:rFonts w:ascii="Times New Roman" w:hAnsi="Times New Roman"/>
        </w:rPr>
        <w:t>2.1 Grundsatz</w:t>
      </w:r>
    </w:p>
    <w:p>
      <w:pPr>
        <w:jc w:val="left"/>
      </w:pPr>
      <w:r>
        <w:t xml:space="preserve">Nach der </w:t>
      </w:r>
      <w:r>
        <w:rPr>
          <w:b/>
        </w:rPr>
        <w:t>Saldotheorie</w:t>
      </w:r>
      <w:r>
        <w:t xml:space="preserve"> (auch: Differenzmethode) wird bei der Rückabwicklung</w:t>
      </w:r>
    </w:p>
    <w:p>
      <w:pPr>
        <w:jc w:val="left"/>
      </w:pPr>
      <w:r>
        <w:t>gegenseitiger Verträge nicht jede Leistung getrennt zurückgefordert.</w:t>
      </w:r>
    </w:p>
    <w:p>
      <w:pPr>
        <w:jc w:val="left"/>
      </w:pPr>
      <w:r>
        <w:t>Stattdessen werden die wechselseitigen Kondiktionsansprüche saldiert;</w:t>
      </w:r>
    </w:p>
    <w:p>
      <w:pPr>
        <w:jc w:val="left"/>
      </w:pPr>
      <w:r>
        <w:t>nur der verbleibende Saldo ist geschuldet.</w:t>
      </w:r>
    </w:p>
    <w:p>
      <w:pPr>
        <w:jc w:val="left"/>
      </w:pPr>
      <w:r>
        <w:rPr>
          <w:b/>
        </w:rPr>
        <w:t>Anwendungsbereich:</w:t>
      </w:r>
      <w:r>
        <w:t xml:space="preserve"> Nichtige gegenseitige Verträge (str.); von der h.M.</w:t>
      </w:r>
    </w:p>
    <w:p>
      <w:pPr>
        <w:jc w:val="left"/>
      </w:pPr>
      <w:r>
        <w:t>angewendet bei nichtigen Kaufverträgen (BGH BGHZ 53, 144; BGH NJW 1995, 454).</w:t>
      </w:r>
    </w:p>
    <w:p>
      <w:pPr>
        <w:pStyle w:val="Heading3"/>
      </w:pPr>
      <w:r>
        <w:rPr>
          <w:rFonts w:ascii="Times New Roman" w:hAnsi="Times New Roman"/>
        </w:rPr>
        <w:t>2.2 Anwendung auf den Bischof-Hellberg / Bagheri-Aichholz-Fall</w:t>
      </w:r>
    </w:p>
    <w:p>
      <w:pPr>
        <w:jc w:val="left"/>
      </w:pPr>
      <w:r>
        <w:rPr>
          <w:b/>
        </w:rPr>
        <w:t>Leistungen Bischof-Hellberg an Bagheri-Aichholz:</w:t>
      </w:r>
    </w:p>
    <w:p>
      <w:pPr>
        <w:pStyle w:val="ListBullet"/>
      </w:pPr>
      <w:r>
        <w:t>Keine (Fahrzeug wurde nicht geliefert)</w:t>
      </w:r>
    </w:p>
    <w:p>
      <w:pPr>
        <w:pStyle w:val="ListBullet"/>
      </w:pPr>
      <w:r>
        <w:t>Wert der Nichtleistung = 0 EUR</w:t>
      </w:r>
    </w:p>
    <w:p>
      <w:pPr>
        <w:jc w:val="left"/>
      </w:pPr>
      <w:r>
        <w:rPr>
          <w:b/>
        </w:rPr>
        <w:t>Leistungen Bagheri-Aichholz an Bischof-Hellberg:</w:t>
      </w:r>
    </w:p>
    <w:p>
      <w:pPr>
        <w:pStyle w:val="ListBullet"/>
      </w:pPr>
      <w:r>
        <w:t>Anzahlung: 600.000 EUR</w:t>
      </w:r>
    </w:p>
    <w:p>
      <w:pPr>
        <w:jc w:val="left"/>
      </w:pPr>
      <w:r>
        <w:rPr>
          <w:b/>
        </w:rPr>
        <w:t>Saldo:</w:t>
      </w:r>
    </w:p>
    <w:p>
      <w:pPr>
        <w:jc w:val="left"/>
      </w:pPr>
      <w:r>
        <w:t xml:space="preserve">Bischof-Hellberg schuldet Bagheri-Aichholz: 600.000 EUR − 0 EUR = </w:t>
      </w:r>
      <w:r>
        <w:rPr>
          <w:b/>
        </w:rPr>
        <w:t>600.000 EUR</w:t>
      </w:r>
    </w:p>
    <w:p>
      <w:pPr>
        <w:jc w:val="left"/>
      </w:pPr>
      <w:r>
        <w:rPr>
          <w:b/>
        </w:rPr>
        <w:t>Zusätzlich:</w:t>
      </w:r>
      <w:r>
        <w:t xml:space="preserve"> Bagheri-Aichholz hatte zwischenzeitlich die Bremsanlage-Modifikation</w:t>
      </w:r>
    </w:p>
    <w:p>
      <w:pPr>
        <w:jc w:val="left"/>
      </w:pPr>
      <w:r>
        <w:t>des 300 SL (Originalteile BJ 1973) zurückgekauft (Kosten: 28.500 EUR).</w:t>
      </w:r>
    </w:p>
    <w:p>
      <w:pPr>
        <w:jc w:val="left"/>
      </w:pPr>
      <w:r>
        <w:t>Streitig ist, ob dieser Rückkauf gegenüber Bischof-Hellberg berücksichtigt wird.</w:t>
      </w:r>
    </w:p>
    <w:p/>
    <w:p>
      <w:pPr>
        <w:pStyle w:val="Heading2"/>
      </w:pPr>
      <w:r>
        <w:rPr>
          <w:rFonts w:ascii="Times New Roman" w:hAnsi="Times New Roman"/>
        </w:rPr>
        <w:t>3. Zweikondiktionentheorie</w:t>
      </w:r>
    </w:p>
    <w:p>
      <w:pPr>
        <w:pStyle w:val="Heading3"/>
      </w:pPr>
      <w:r>
        <w:rPr>
          <w:rFonts w:ascii="Times New Roman" w:hAnsi="Times New Roman"/>
        </w:rPr>
        <w:t>3.1 Grundsatz</w:t>
      </w:r>
    </w:p>
    <w:p>
      <w:pPr>
        <w:jc w:val="left"/>
      </w:pPr>
      <w:r>
        <w:t xml:space="preserve">Nach der </w:t>
      </w:r>
      <w:r>
        <w:rPr>
          <w:b/>
        </w:rPr>
        <w:t>Zweikondiktionentheorie</w:t>
      </w:r>
      <w:r>
        <w:t xml:space="preserve"> (auch: Trennungsmethode) werden</w:t>
      </w:r>
    </w:p>
    <w:p>
      <w:pPr>
        <w:jc w:val="left"/>
      </w:pPr>
      <w:r>
        <w:t>die wechselseitigen Bereicherungsansprüche getrennt geltend gemacht.</w:t>
      </w:r>
    </w:p>
    <w:p>
      <w:pPr>
        <w:jc w:val="left"/>
      </w:pPr>
      <w:r>
        <w:t>Jeder Beteiligte kann die eigene Leistung zurückfordern, ohne sich</w:t>
      </w:r>
    </w:p>
    <w:p>
      <w:pPr>
        <w:jc w:val="left"/>
      </w:pPr>
      <w:r>
        <w:t>die Gegenleistung anrechnen lassen zu müssen.</w:t>
      </w:r>
    </w:p>
    <w:p>
      <w:pPr>
        <w:jc w:val="left"/>
      </w:pPr>
      <w:r>
        <w:rPr>
          <w:b/>
        </w:rPr>
        <w:t>Anwendungsbereich:</w:t>
      </w:r>
      <w:r>
        <w:t xml:space="preserve"> Bevorzugt bei sittenwidrigen oder gesetzeswidrigen Verträgen</w:t>
      </w:r>
    </w:p>
    <w:p>
      <w:pPr>
        <w:jc w:val="left"/>
      </w:pPr>
      <w:r>
        <w:t>(Paragraf 134, 138 BGB), um den sozial Schwächeren zu schützen.</w:t>
      </w:r>
    </w:p>
    <w:p>
      <w:pPr>
        <w:pStyle w:val="Heading3"/>
      </w:pPr>
      <w:r>
        <w:rPr>
          <w:rFonts w:ascii="Times New Roman" w:hAnsi="Times New Roman"/>
        </w:rPr>
        <w:t>3.2 Anwendung auf den vorliegenden Fall</w:t>
      </w:r>
    </w:p>
    <w:p>
      <w:pPr>
        <w:jc w:val="left"/>
      </w:pPr>
      <w:r>
        <w:t>Unter der Zweikondiktionentheorie:</w:t>
      </w:r>
    </w:p>
    <w:p>
      <w:pPr>
        <w:pStyle w:val="ListBullet"/>
      </w:pPr>
      <w:r>
        <w:rPr>
          <w:b/>
        </w:rPr>
        <w:t>Anspruch Bagheri-Aichholz:</w:t>
      </w:r>
      <w:r>
        <w:t xml:space="preserve"> 600.000 EUR (volle Rückforderung ohne Abzug)</w:t>
      </w:r>
    </w:p>
    <w:p>
      <w:pPr>
        <w:pStyle w:val="ListBullet"/>
      </w:pPr>
      <w:r>
        <w:rPr>
          <w:b/>
        </w:rPr>
        <w:t>Anspruch Bischof-Hellberg:</w:t>
      </w:r>
      <w:r>
        <w:t xml:space="preserve"> 0 EUR (er hat keine Leistung erbracht)</w:t>
      </w:r>
    </w:p>
    <w:p>
      <w:pPr>
        <w:pStyle w:val="ListBullet"/>
      </w:pPr>
      <w:r>
        <w:t>Beide Ansprüche unabhängig voneinander — kein Saldo</w:t>
      </w:r>
    </w:p>
    <w:p>
      <w:pPr>
        <w:jc w:val="left"/>
      </w:pPr>
      <w:r>
        <w:t>Im Ergebnis identisch zur Saldotheorie, da Bischof-Hellberg nichts erbracht hat.</w:t>
      </w:r>
    </w:p>
    <w:p/>
    <w:p>
      <w:pPr>
        <w:pStyle w:val="Heading2"/>
      </w:pPr>
      <w:r>
        <w:rPr>
          <w:rFonts w:ascii="Times New Roman" w:hAnsi="Times New Roman"/>
        </w:rPr>
        <w:t>4. Besonderheit: Bremsanlage Modifikation 1973</w:t>
      </w:r>
    </w:p>
    <w:p>
      <w:pPr>
        <w:jc w:val="left"/>
      </w:pPr>
      <w:r>
        <w:t>Bagheri-Aichholz hat nach dem Scheitern des ersten Kaufvertrags die</w:t>
      </w:r>
    </w:p>
    <w:p>
      <w:pPr>
        <w:jc w:val="left"/>
      </w:pPr>
      <w:r>
        <w:t>nachgerüstete Bremsanlage-Modifikation des 300 SL (Bremssattel-Satz,</w:t>
      </w:r>
    </w:p>
    <w:p>
      <w:pPr>
        <w:jc w:val="left"/>
      </w:pPr>
      <w:r>
        <w:t>Bj. 1973, Wert: 28.500 EUR) auf dem freien Markt zurückgekauft.</w:t>
      </w:r>
    </w:p>
    <w:p>
      <w:pPr>
        <w:jc w:val="left"/>
      </w:pPr>
      <w:r>
        <w:t>Diese Teile hatte Bischof-Hellberg separat verkauft.</w:t>
      </w:r>
    </w:p>
    <w:p>
      <w:pPr>
        <w:jc w:val="left"/>
      </w:pPr>
      <w:r>
        <w:rPr>
          <w:b/>
        </w:rPr>
        <w:t>Frage:</w:t>
      </w:r>
      <w:r>
        <w:t xml:space="preserve"> Muss Bagheri-Aichholz die Bremsanlage (als Frucht des ursprünglichen</w:t>
      </w:r>
    </w:p>
    <w:p>
      <w:pPr>
        <w:jc w:val="left"/>
      </w:pPr>
      <w:r>
        <w:t>Kaufgegenstands?) an Bischof-Hellberg herausgeben?</w:t>
      </w:r>
    </w:p>
    <w:p>
      <w:pPr>
        <w:jc w:val="left"/>
      </w:pPr>
      <w:r>
        <w:rPr>
          <w:b/>
        </w:rPr>
        <w:t>Antwort:</w:t>
      </w:r>
      <w:r>
        <w:t xml:space="preserve"> Nein, da:</w:t>
      </w:r>
    </w:p>
    <w:p>
      <w:pPr>
        <w:pStyle w:val="ListNumber"/>
      </w:pPr>
      <w:r>
        <w:t>Die Bremsanlage nie Eigentum der Bagheri-Aichholz war (Fahrzeug wurde nicht übergeben)</w:t>
      </w:r>
    </w:p>
    <w:p>
      <w:pPr>
        <w:pStyle w:val="ListNumber"/>
      </w:pPr>
      <w:r>
        <w:t>Bagheri-Aichholz hat die Bremsanlage eigenständig erworben (neuer Eigentumsvorgang)</w:t>
      </w:r>
    </w:p>
    <w:p>
      <w:pPr>
        <w:pStyle w:val="ListNumber"/>
      </w:pPr>
      <w:r>
        <w:t>Kein Herausgabeanspruch des Bischof-Hellberg aus Paragraf 812 BGB</w:t>
      </w:r>
    </w:p>
    <w:p>
      <w:pPr>
        <w:jc w:val="left"/>
      </w:pPr>
      <w:r>
        <w:t>(er hat ihr die Bremsanlage nie geleistet)</w:t>
      </w:r>
    </w:p>
    <w:p/>
    <w:p>
      <w:pPr>
        <w:pStyle w:val="Heading2"/>
      </w:pPr>
      <w:r>
        <w:rPr>
          <w:rFonts w:ascii="Times New Roman" w:hAnsi="Times New Roman"/>
        </w:rPr>
        <w:t>5. BGH-Rechtsprechung zur Saldotheorie</w:t>
      </w:r>
    </w:p>
    <w:p>
      <w:pPr>
        <w:jc w:val="left"/>
      </w:pPr>
      <w:r>
        <w:rPr>
          <w:b/>
        </w:rPr>
        <w:t>Wesentliche BGH-Entscheidungen:</w:t>
      </w:r>
    </w:p>
    <w:p>
      <w:pPr>
        <w:pStyle w:val="ListBullet"/>
      </w:pPr>
      <w:r>
        <w:t>BGH, Urteil v. 14.10.1994, V ZR 196/93 = BGHZ 127, 197:</w:t>
      </w:r>
    </w:p>
    <w:p>
      <w:pPr>
        <w:jc w:val="left"/>
      </w:pPr>
      <w:r>
        <w:t>Saldotheorie gilt bei nichtigen gegenseitigen Verträgen;</w:t>
      </w:r>
    </w:p>
    <w:p>
      <w:pPr>
        <w:jc w:val="left"/>
      </w:pPr>
      <w:r>
        <w:t>Anwendung auch beim Kondiktionsdurchgriff.</w:t>
      </w:r>
    </w:p>
    <w:p>
      <w:pPr>
        <w:pStyle w:val="ListBullet"/>
      </w:pPr>
      <w:r>
        <w:t>BGH, Urteil v. 27.09.2002, V ZR 218/01 = NJW 2003, 190:</w:t>
      </w:r>
    </w:p>
    <w:p>
      <w:pPr>
        <w:jc w:val="left"/>
      </w:pPr>
      <w:r>
        <w:t>Saldotheorie schützt auch bei Minderjährigen nicht — hier Zweikondiktionentheorie.</w:t>
      </w:r>
    </w:p>
    <w:p>
      <w:pPr>
        <w:pStyle w:val="ListBullet"/>
      </w:pPr>
      <w:r>
        <w:t>BGH, Urteil v. 25.03.2004, III ZR 227/02 = NJW 2004, 2751:</w:t>
      </w:r>
    </w:p>
    <w:p>
      <w:pPr>
        <w:jc w:val="left"/>
      </w:pPr>
      <w:r>
        <w:t>Saldotheorie bei Rücktrittsrecht nach Paragraf 326 BGB.</w:t>
      </w:r>
    </w:p>
    <w:p>
      <w:pPr>
        <w:jc w:val="left"/>
      </w:pPr>
      <w:r>
        <w:rPr>
          <w:b/>
        </w:rPr>
        <w:t>Fazit für diesen Fall:</w:t>
      </w:r>
    </w:p>
    <w:p>
      <w:pPr>
        <w:jc w:val="left"/>
      </w:pPr>
      <w:r>
        <w:t>Da weder ein nichtiger Vertrag vorliegt noch ein Schutzbefohlener beteiligt ist,</w:t>
      </w:r>
    </w:p>
    <w:p>
      <w:pPr>
        <w:jc w:val="left"/>
      </w:pPr>
      <w:r>
        <w:t xml:space="preserve">gilt grundsätzlich die </w:t>
      </w:r>
      <w:r>
        <w:rPr>
          <w:b/>
        </w:rPr>
        <w:t>Saldotheorie</w:t>
      </w:r>
      <w:r>
        <w:t>, die hier aber zum selben Ergebnis</w:t>
      </w:r>
    </w:p>
    <w:p>
      <w:pPr>
        <w:jc w:val="left"/>
      </w:pPr>
      <w:r>
        <w:t>wie die Zweikondiktionentheorie führt: 600.000 EUR Rückzahlungsanspruch.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812 BGB: https://dejure.org/gesetze/BGB/812.html</w:t>
      </w:r>
    </w:p>
    <w:p>
      <w:pPr>
        <w:pStyle w:val="ListBullet"/>
      </w:pPr>
      <w:r>
        <w:t>BGH BGHZ 127, 197 (Saldotheorie): https://openjur.de</w:t>
      </w:r>
    </w:p>
    <w:p>
      <w:pPr>
        <w:pStyle w:val="ListBullet"/>
      </w:pPr>
      <w:r>
        <w:t>BGH NJW 2003, 190 (Saldotheorie):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