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Paragraf 817 S. 2 BGB — Ausschluss der Leistungskondiktion bei beiderseitigem Verstoß</w:t>
      </w:r>
    </w:p>
    <w:p>
      <w:pPr>
        <w:jc w:val="left"/>
      </w:pPr>
      <w:r>
        <w:rPr>
          <w:b/>
        </w:rPr>
        <w:t>Aktenzeichen:</w:t>
      </w:r>
      <w:r>
        <w:t xml:space="preserve"> LG Bonn 16 O 211/26</w:t>
      </w:r>
    </w:p>
    <w:p>
      <w:pPr>
        <w:jc w:val="left"/>
      </w:pPr>
      <w:r>
        <w:rPr>
          <w:b/>
        </w:rPr>
        <w:t>Rechtsfrage:</w:t>
      </w:r>
      <w:r>
        <w:t xml:space="preserve"> Greift Paragraf 817 S. 2 BGB im Doppelverkauf-Fall?</w:t>
      </w:r>
    </w:p>
    <w:p/>
    <w:p>
      <w:pPr>
        <w:pStyle w:val="Heading2"/>
      </w:pPr>
      <w:r>
        <w:rPr>
          <w:rFonts w:ascii="Times New Roman" w:hAnsi="Times New Roman"/>
        </w:rPr>
        <w:t>1. Normetext und Bedeutung</w:t>
      </w:r>
    </w:p>
    <w:p>
      <w:pPr>
        <w:jc w:val="left"/>
      </w:pPr>
      <w:r>
        <w:rPr>
          <w:b/>
        </w:rPr>
        <w:t>Paragraf 817 BGB:</w:t>
      </w:r>
    </w:p>
    <w:p>
      <w:pPr>
        <w:jc w:val="left"/>
      </w:pPr>
      <w:r>
        <w:t>S. 1: Ist der Zweck einer Leistung in der Art bestimmt, dass der Empfänger</w:t>
      </w:r>
    </w:p>
    <w:p>
      <w:pPr>
        <w:jc w:val="left"/>
      </w:pPr>
      <w:r>
        <w:t>durch die Annahme gegen ein gesetzliches Verbot oder gegen die guten Sitten</w:t>
      </w:r>
    </w:p>
    <w:p>
      <w:pPr>
        <w:jc w:val="left"/>
      </w:pPr>
      <w:r>
        <w:t>verstoßen hat, so ist der Empfänger zur Herausgabe verpflichtet.</w:t>
      </w:r>
    </w:p>
    <w:p>
      <w:pPr>
        <w:jc w:val="left"/>
      </w:pPr>
      <w:r>
        <w:t>S. 2: Die Rückforderung ist jedoch ausgeschlossen, wenn dem Leistenden</w:t>
      </w:r>
    </w:p>
    <w:p>
      <w:pPr>
        <w:jc w:val="left"/>
      </w:pPr>
      <w:r>
        <w:t>gleichfalls ein solcher Verstoß zur Last fällt.</w:t>
      </w:r>
    </w:p>
    <w:p>
      <w:pPr>
        <w:pStyle w:val="Heading3"/>
      </w:pPr>
      <w:r>
        <w:rPr>
          <w:rFonts w:ascii="Times New Roman" w:hAnsi="Times New Roman"/>
        </w:rPr>
        <w:t>1.1 Zweck der Norm</w:t>
      </w:r>
    </w:p>
    <w:p>
      <w:pPr>
        <w:jc w:val="left"/>
      </w:pPr>
      <w:r>
        <w:t>Paragraf 817 S. 2 BGB dient dem Zweck, den Leistenden daran zu hindern,</w:t>
      </w:r>
    </w:p>
    <w:p>
      <w:pPr>
        <w:jc w:val="left"/>
      </w:pPr>
      <w:r>
        <w:t>sich auf die eigene Gesetzeswidrigkeit zu berufen (nemo auditur propriam</w:t>
      </w:r>
    </w:p>
    <w:p>
      <w:pPr>
        <w:jc w:val="left"/>
      </w:pPr>
      <w:r>
        <w:t>turpitudinem allegans). Die Norm hat Sanktionscharakter und soll abschreckend</w:t>
      </w:r>
    </w:p>
    <w:p>
      <w:pPr>
        <w:jc w:val="left"/>
      </w:pPr>
      <w:r>
        <w:t>wirken.</w:t>
      </w:r>
    </w:p>
    <w:p/>
    <w:p>
      <w:pPr>
        <w:pStyle w:val="Heading2"/>
      </w:pPr>
      <w:r>
        <w:rPr>
          <w:rFonts w:ascii="Times New Roman" w:hAnsi="Times New Roman"/>
        </w:rPr>
        <w:t>2. Voraussetzungen Paragraf 817 S. 2 BGB</w:t>
      </w:r>
    </w:p>
    <w:p>
      <w:pPr>
        <w:pStyle w:val="ListNumber"/>
      </w:pPr>
      <w:r>
        <w:t>Verstoß des Empfängers gegen gesetzliches Verbot oder gute Sitten (S. 1)</w:t>
      </w:r>
    </w:p>
    <w:p>
      <w:pPr>
        <w:pStyle w:val="ListNumber"/>
      </w:pPr>
      <w:r>
        <w:t>Gleichzeitiger Verstoß des Leistenden gegen dasselbe</w:t>
      </w:r>
    </w:p>
    <w:p/>
    <w:p>
      <w:pPr>
        <w:pStyle w:val="Heading2"/>
      </w:pPr>
      <w:r>
        <w:rPr>
          <w:rFonts w:ascii="Times New Roman" w:hAnsi="Times New Roman"/>
        </w:rPr>
        <w:t>3. Anwendung auf den Doppelverkauf-Fall</w:t>
      </w:r>
    </w:p>
    <w:p>
      <w:pPr>
        <w:pStyle w:val="Heading3"/>
      </w:pPr>
      <w:r>
        <w:rPr>
          <w:rFonts w:ascii="Times New Roman" w:hAnsi="Times New Roman"/>
        </w:rPr>
        <w:t>3.1 Verstoß des Bischof-Hellberg?</w:t>
      </w:r>
    </w:p>
    <w:p>
      <w:pPr>
        <w:jc w:val="left"/>
      </w:pPr>
      <w:r>
        <w:t>Bischof-Hellberg hat durch den Doppelverkauf möglicherweise gegen:</w:t>
      </w:r>
    </w:p>
    <w:p>
      <w:pPr>
        <w:pStyle w:val="ListBullet"/>
      </w:pPr>
      <w:r>
        <w:t>Paragraf 823 Abs. 2 BGB i.V.m. Paragraf 263 StGB (Betrug): Wenn er beim</w:t>
      </w:r>
    </w:p>
    <w:p>
      <w:pPr>
        <w:jc w:val="left"/>
      </w:pPr>
      <w:r>
        <w:t>Abschluss des zweiten Kaufvertrags wusste, dass er das Fahrzeug bereits</w:t>
      </w:r>
    </w:p>
    <w:p>
      <w:pPr>
        <w:jc w:val="left"/>
      </w:pPr>
      <w:r>
        <w:t>an Bagheri-Aichholz verkauft hatte und nicht mehr liefern konnte.</w:t>
      </w:r>
    </w:p>
    <w:p>
      <w:pPr>
        <w:pStyle w:val="ListBullet"/>
      </w:pPr>
      <w:r>
        <w:t>Paragraf 826 BGB (vorsätzliche sittenwidrige Schädigung)</w:t>
      </w:r>
    </w:p>
    <w:p>
      <w:pPr>
        <w:jc w:val="left"/>
      </w:pPr>
      <w:r>
        <w:rPr>
          <w:b/>
        </w:rPr>
        <w:t>Bewertung:</w:t>
      </w:r>
      <w:r>
        <w:t xml:space="preserve"> Ein Betrug i.S.d. Paragrafen 263 StGB setzt voraus, dass Bischof-Hellberg</w:t>
      </w:r>
    </w:p>
    <w:p>
      <w:pPr>
        <w:jc w:val="left"/>
      </w:pPr>
      <w:r>
        <w:t>beim Vertragsschluss mit Trappenfels (14.03.2025) keine Absicht hatte zu liefern.</w:t>
      </w:r>
    </w:p>
    <w:p>
      <w:pPr>
        <w:jc w:val="left"/>
      </w:pPr>
      <w:r>
        <w:t>Da er tatsächlich lieferte, fehlt es an der rechtswidrigen Bereicherungsabsicht.</w:t>
      </w:r>
    </w:p>
    <w:p>
      <w:pPr>
        <w:jc w:val="left"/>
      </w:pPr>
      <w:r>
        <w:t>Ein bloßer Doppelverkauf ohne Täuschungsabsicht begründet keinen Betrug.</w:t>
      </w:r>
    </w:p>
    <w:p>
      <w:pPr>
        <w:pStyle w:val="Heading3"/>
      </w:pPr>
      <w:r>
        <w:rPr>
          <w:rFonts w:ascii="Times New Roman" w:hAnsi="Times New Roman"/>
        </w:rPr>
        <w:t>3.2 Verstoß des Bagheri-Aichholz?</w:t>
      </w:r>
    </w:p>
    <w:p>
      <w:pPr>
        <w:jc w:val="left"/>
      </w:pPr>
      <w:r>
        <w:t>Bagheri-Aichholz hat keinerlei gesetzwidrigen oder sittenwidrigen Handlung begangen.</w:t>
      </w:r>
    </w:p>
    <w:p>
      <w:pPr>
        <w:jc w:val="left"/>
      </w:pPr>
      <w:r>
        <w:t>Sie hat einen normalen Kaufvertrag abgeschlossen und die vereinbarte Anzahlung geleistet.</w:t>
      </w:r>
    </w:p>
    <w:p>
      <w:pPr>
        <w:pStyle w:val="Heading3"/>
      </w:pPr>
      <w:r>
        <w:rPr>
          <w:rFonts w:ascii="Times New Roman" w:hAnsi="Times New Roman"/>
        </w:rPr>
        <w:t>3.3 Ergebnis</w:t>
      </w:r>
    </w:p>
    <w:p>
      <w:pPr>
        <w:jc w:val="left"/>
      </w:pPr>
      <w:r>
        <w:rPr>
          <w:b/>
        </w:rPr>
        <w:t>Paragraf 817 S. 2 BGB greift nicht:</w:t>
      </w:r>
    </w:p>
    <w:p>
      <w:pPr>
        <w:pStyle w:val="ListBullet"/>
      </w:pPr>
      <w:r>
        <w:t>Mangels beiderseitigen Verstoßes ist die Rückforderung der 600.000 EUR</w:t>
      </w:r>
    </w:p>
    <w:p>
      <w:pPr>
        <w:jc w:val="left"/>
      </w:pPr>
      <w:r>
        <w:t>durch Bagheri-Aichholz nicht nach Paragraf 817 S. 2 BGB ausgeschlossen.</w:t>
      </w:r>
    </w:p>
    <w:p>
      <w:pPr>
        <w:pStyle w:val="ListBullet"/>
      </w:pPr>
      <w:r>
        <w:t>Selbst wenn man Bischof-Hellberg einen Sittenverstoß unterstellte (Doppelverkauf</w:t>
      </w:r>
    </w:p>
    <w:p>
      <w:pPr>
        <w:jc w:val="left"/>
      </w:pPr>
      <w:r>
        <w:t>als Betrug), würde Paragraf 817 S. 2 BGB nur eingreifen, wenn auch Bagheri-Aichholz</w:t>
      </w:r>
    </w:p>
    <w:p>
      <w:pPr>
        <w:jc w:val="left"/>
      </w:pPr>
      <w:r>
        <w:t>einen Verstoß beging — was nicht der Fall ist.</w:t>
      </w:r>
    </w:p>
    <w:p/>
    <w:p>
      <w:pPr>
        <w:pStyle w:val="Heading2"/>
      </w:pPr>
      <w:r>
        <w:rPr>
          <w:rFonts w:ascii="Times New Roman" w:hAnsi="Times New Roman"/>
        </w:rPr>
        <w:t>4. Abgrenzung: Paragraf 817 S. 1 vs. Paragraf 812 Abs. 1 BGB</w:t>
      </w:r>
    </w:p>
    <w:p>
      <w:pPr>
        <w:jc w:val="left"/>
      </w:pPr>
      <w:r>
        <w:t>Wichtig ist die Abgrenzung:</w:t>
      </w:r>
    </w:p>
    <w:p>
      <w:pPr>
        <w:pStyle w:val="ListBullet"/>
      </w:pPr>
      <w:r>
        <w:rPr>
          <w:b/>
        </w:rPr>
        <w:t>Paragraf 817 S. 1 BGB</w:t>
      </w:r>
      <w:r>
        <w:t xml:space="preserve"> kommt nur in Betracht, wenn die Leistung gerade</w:t>
      </w:r>
    </w:p>
    <w:p>
      <w:pPr>
        <w:jc w:val="left"/>
      </w:pPr>
      <w:r>
        <w:t>zum Zweck eines gesetzwidrigen oder sittenwidrigen Erfolgs erbracht wurde.</w:t>
      </w:r>
    </w:p>
    <w:p>
      <w:pPr>
        <w:jc w:val="left"/>
      </w:pPr>
      <w:r>
        <w:t>Dies ist hier nicht der Fall: Bagheri-Aichholz leistete die Anzahlung</w:t>
      </w:r>
    </w:p>
    <w:p>
      <w:pPr>
        <w:jc w:val="left"/>
      </w:pPr>
      <w:r>
        <w:t>für einen legitimen Kaufvertrag, nicht für einen illegalen Zweck.</w:t>
      </w:r>
    </w:p>
    <w:p>
      <w:pPr>
        <w:pStyle w:val="ListBullet"/>
      </w:pPr>
      <w:r>
        <w:rPr>
          <w:b/>
        </w:rPr>
        <w:t>Paragraf 812 Abs. 1 BGB</w:t>
      </w:r>
      <w:r>
        <w:t xml:space="preserve"> ist die einschlägige Anspruchsgrundlage,</w:t>
      </w:r>
    </w:p>
    <w:p>
      <w:pPr>
        <w:jc w:val="left"/>
      </w:pPr>
      <w:r>
        <w:t>da der Rechtsgrund (Kaufvertrag) nachträglich entfallen ist.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817 BGB: https://dejure.org/gesetze/BGB/817.html</w:t>
      </w:r>
    </w:p>
    <w:p>
      <w:pPr>
        <w:pStyle w:val="ListBullet"/>
      </w:pPr>
      <w:r>
        <w:t>BGH NJW 2014, 1098 (Paragraf 817 S. 2 BGB Anwendung): https://openjur.de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