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Paragraf 133 InsO — Vertiefte Pruefung Glaeubigerbenachteiligungsvorsatz</w:t>
      </w:r>
    </w:p>
    <w:p>
      <w:pPr>
        <w:jc w:val="left"/>
      </w:pPr>
      <w:r>
        <w:rPr>
          <w:b/>
        </w:rPr>
        <w:t>Aktenzeichen:</w:t>
      </w:r>
      <w:r>
        <w:t xml:space="preserve"> AG Hamburg 67 IN 88/26</w:t>
      </w:r>
    </w:p>
    <w:p>
      <w:pPr>
        <w:jc w:val="left"/>
      </w:pPr>
      <w:r>
        <w:rPr>
          <w:b/>
        </w:rPr>
        <w:t>Gegenstand:</w:t>
      </w:r>
      <w:r>
        <w:t xml:space="preserve"> Vertiefte Analyse Benachteiligungsvorsatz nach BGH-Massstab</w:t>
      </w:r>
    </w:p>
    <w:p/>
    <w:p>
      <w:pPr>
        <w:pStyle w:val="Heading2"/>
      </w:pPr>
      <w:r>
        <w:rPr>
          <w:rFonts w:ascii="Times New Roman" w:hAnsi="Times New Roman"/>
        </w:rPr>
        <w:t>1. BGH-Maßstab zum Benachteiligungsvorsatz</w:t>
      </w:r>
    </w:p>
    <w:p>
      <w:pPr>
        <w:pStyle w:val="Heading3"/>
      </w:pPr>
      <w:r>
        <w:rPr>
          <w:rFonts w:ascii="Times New Roman" w:hAnsi="Times New Roman"/>
        </w:rPr>
        <w:t>1.1 Grundlegende BGH-Rechtsprechung</w:t>
      </w:r>
    </w:p>
    <w:p>
      <w:pPr>
        <w:jc w:val="left"/>
      </w:pPr>
      <w:r>
        <w:t>Der BGH hat in einer Reihe von Entscheidungen den Maßstab für den</w:t>
      </w:r>
    </w:p>
    <w:p>
      <w:pPr>
        <w:jc w:val="left"/>
      </w:pPr>
      <w:r>
        <w:t>Benachteiligungsvorsatz nach Paragraf 133 InsO konkretisiert:</w:t>
      </w:r>
    </w:p>
    <w:p>
      <w:pPr>
        <w:jc w:val="left"/>
      </w:pPr>
      <w:r>
        <w:rPr>
          <w:b/>
        </w:rPr>
        <w:t>BGH, Urteil v. 05.03.2015, IX ZR 133/14 = NJW 2015, 1677:</w:t>
      </w:r>
    </w:p>
    <w:p>
      <w:pPr>
        <w:jc w:val="left"/>
      </w:pPr>
      <w:r>
        <w:t>Der Schuldner handelt mit Benachteiligungsvorsatz, wenn er die Benachteiligung</w:t>
      </w:r>
    </w:p>
    <w:p>
      <w:pPr>
        <w:jc w:val="left"/>
      </w:pPr>
      <w:r>
        <w:t>seiner Gläubiger als sichere Folge seines Handelns erkennt und billigend in</w:t>
      </w:r>
    </w:p>
    <w:p>
      <w:pPr>
        <w:jc w:val="left"/>
      </w:pPr>
      <w:r>
        <w:t>Kauf nimmt. Auf die Absicht, Gläubiger zu schädigen, kommt es nicht an.</w:t>
      </w:r>
    </w:p>
    <w:p>
      <w:pPr>
        <w:jc w:val="left"/>
      </w:pPr>
      <w:r>
        <w:rPr>
          <w:b/>
        </w:rPr>
        <w:t>BGH, Urteil v. 12.11.2015, IX ZR 181/14 = NJW 2016, 681:</w:t>
      </w:r>
    </w:p>
    <w:p>
      <w:pPr>
        <w:jc w:val="left"/>
      </w:pPr>
      <w:r>
        <w:t>Kennt der Schuldner seine (drohende) Zahlungsunfähigkeit, weiß er regelmäßig</w:t>
      </w:r>
    </w:p>
    <w:p>
      <w:pPr>
        <w:jc w:val="left"/>
      </w:pPr>
      <w:r>
        <w:t>auch, dass seine Gläubiger benachteiligt werden.</w:t>
      </w:r>
    </w:p>
    <w:p>
      <w:pPr>
        <w:pStyle w:val="Heading3"/>
      </w:pPr>
      <w:r>
        <w:rPr>
          <w:rFonts w:ascii="Times New Roman" w:hAnsi="Times New Roman"/>
        </w:rPr>
        <w:t>1.2 Bedeutung der Zahlungsunfähigkeit als Indiz</w:t>
      </w:r>
    </w:p>
    <w:p>
      <w:pPr>
        <w:jc w:val="left"/>
      </w:pPr>
      <w:r>
        <w:t>Nach Paragraf 133 Abs. 1 S. 2 InsO wird vermutet, dass der andere Teil</w:t>
      </w:r>
    </w:p>
    <w:p>
      <w:pPr>
        <w:jc w:val="left"/>
      </w:pPr>
      <w:r>
        <w:t>den Vorsatz kannte, wenn dieser wusste, dass die Zahlungsunfähigkeit drohte</w:t>
      </w:r>
    </w:p>
    <w:p>
      <w:pPr>
        <w:jc w:val="left"/>
      </w:pPr>
      <w:r>
        <w:t>und die Handlung die Gläubiger benachteiligte.</w:t>
      </w:r>
    </w:p>
    <w:p/>
    <w:p>
      <w:pPr>
        <w:pStyle w:val="Heading2"/>
      </w:pPr>
      <w:r>
        <w:rPr>
          <w:rFonts w:ascii="Times New Roman" w:hAnsi="Times New Roman"/>
        </w:rPr>
        <w:t>2. Prüfung im Trappenfels-Fall</w:t>
      </w:r>
    </w:p>
    <w:p>
      <w:pPr>
        <w:pStyle w:val="Heading3"/>
      </w:pPr>
      <w:r>
        <w:rPr>
          <w:rFonts w:ascii="Times New Roman" w:hAnsi="Times New Roman"/>
        </w:rPr>
        <w:t>2.1 Kannte Trappenfels seine Zahlungsunfähigkeit (März 2025)?</w:t>
      </w:r>
    </w:p>
    <w:p>
      <w:pPr>
        <w:jc w:val="left"/>
      </w:pPr>
      <w:r>
        <w:rPr>
          <w:b/>
        </w:rPr>
        <w:t>Liquiditätsstatus März 2025:</w:t>
      </w:r>
    </w:p>
    <w:p>
      <w:pPr>
        <w:jc w:val="left"/>
      </w:pPr>
      <w:r>
        <w:t>Trappenfels zahlte 850.000 EUR Anzahlung am 18.03.2025 — dies spricht gegen</w:t>
      </w:r>
    </w:p>
    <w:p>
      <w:pPr>
        <w:jc w:val="left"/>
      </w:pPr>
      <w:r>
        <w:t>akute Zahlungsunfähigkeit. Gleichzeitig konnte er den Restkaufpreis von</w:t>
      </w:r>
    </w:p>
    <w:p>
      <w:pPr>
        <w:jc w:val="left"/>
      </w:pPr>
      <w:r>
        <w:t>750.000 EUR nicht zahlen (erste Mahnung Mai 2025).</w:t>
      </w:r>
    </w:p>
    <w:p>
      <w:pPr>
        <w:jc w:val="left"/>
      </w:pPr>
      <w:r>
        <w:t>Zeittafel der Zahlungsunfähigkeit:</w:t>
      </w:r>
    </w:p>
    <w:p>
      <w:pPr>
        <w:jc w:val="left"/>
      </w:pPr>
      <w:r>
        <w:t>```</w:t>
      </w:r>
    </w:p>
    <w:p>
      <w:pPr>
        <w:jc w:val="left"/>
      </w:pPr>
      <w:r>
        <w:t>18.03.2025  850.000 EUR Anzahlung bezahlt — noch zahlungsfähig</w:t>
      </w:r>
    </w:p>
    <w:p>
      <w:pPr>
        <w:jc w:val="left"/>
      </w:pPr>
      <w:r>
        <w:t>01.04.2025  200.000 EUR Teilzahlung — noch zahlungsfähig</w:t>
      </w:r>
    </w:p>
    <w:p>
      <w:pPr>
        <w:jc w:val="left"/>
      </w:pPr>
      <w:r>
        <w:t>01.05.2025  Restzahlung fällig, Trappenfels zahlt nicht — erste Anzeichen</w:t>
      </w:r>
    </w:p>
    <w:p>
      <w:pPr>
        <w:jc w:val="left"/>
      </w:pPr>
      <w:r>
        <w:t>15.06.2025  Mahnung durch Bischof-Hellberg — Zahlungsverzug</w:t>
      </w:r>
    </w:p>
    <w:p>
      <w:pPr>
        <w:jc w:val="left"/>
      </w:pPr>
      <w:r>
        <w:t>01.08.2025  Trotz Mahnungen keine Zahlung — faktische Zahlungsunfähigkeit</w:t>
      </w:r>
    </w:p>
    <w:p>
      <w:pPr>
        <w:jc w:val="left"/>
      </w:pPr>
      <w:r>
        <w:t>01.09.2025  Insolvenzantrag gestellt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Bewertung:</w:t>
      </w:r>
      <w:r>
        <w:t xml:space="preserve"> Zahlungsunfähigkeit trat frühestens Mai/Juni 2025 ein.</w:t>
      </w:r>
    </w:p>
    <w:p>
      <w:pPr>
        <w:jc w:val="left"/>
      </w:pPr>
      <w:r>
        <w:t>Zum Zeitpunkt der Kaufpreiszahlungen (März/April 2025) war Trappenfels</w:t>
      </w:r>
    </w:p>
    <w:p>
      <w:pPr>
        <w:jc w:val="left"/>
      </w:pPr>
      <w:r>
        <w:t>(noch) nicht zahlungsunfähig.</w:t>
      </w:r>
    </w:p>
    <w:p>
      <w:pPr>
        <w:pStyle w:val="Heading3"/>
      </w:pPr>
      <w:r>
        <w:rPr>
          <w:rFonts w:ascii="Times New Roman" w:hAnsi="Times New Roman"/>
        </w:rPr>
        <w:t>2.2 Konnte Bischof-Hellberg Zahlungsunfähigkeit erkennen?</w:t>
      </w:r>
    </w:p>
    <w:p>
      <w:pPr>
        <w:jc w:val="left"/>
      </w:pPr>
      <w:r>
        <w:t>Selbst wenn eine drohende Zahlungsunfähigkeit im März 2025 vorgelegen hätte,</w:t>
      </w:r>
    </w:p>
    <w:p>
      <w:pPr>
        <w:jc w:val="left"/>
      </w:pPr>
      <w:r>
        <w:t>müsste Bischof-Hellberg diese erkannt haben.</w:t>
      </w:r>
    </w:p>
    <w:p>
      <w:pPr>
        <w:jc w:val="left"/>
      </w:pPr>
      <w:r>
        <w:rPr>
          <w:b/>
        </w:rPr>
        <w:t>Faktoren:</w:t>
      </w:r>
    </w:p>
    <w:p>
      <w:pPr>
        <w:pStyle w:val="ListBullet"/>
      </w:pPr>
      <w:r>
        <w:t>Trappenfels zahlte die Anzahlung pünktlich und vollständig (850.000 EUR)</w:t>
      </w:r>
    </w:p>
    <w:p>
      <w:pPr>
        <w:pStyle w:val="ListBullet"/>
      </w:pPr>
      <w:r>
        <w:t>Keine Anzeichen für finanzielle Schieflage aus Sicht des Verkäufers</w:t>
      </w:r>
    </w:p>
    <w:p>
      <w:pPr>
        <w:pStyle w:val="ListBullet"/>
      </w:pPr>
      <w:r>
        <w:t>Keine vorherige Geschäftsbeziehung zwischen Parteien</w:t>
      </w:r>
    </w:p>
    <w:p>
      <w:pPr>
        <w:pStyle w:val="ListBullet"/>
      </w:pPr>
      <w:r>
        <w:t>Bischof-Hellberg hatte keinen Anlass, die Bonität des Käufers zu prüfen</w:t>
      </w:r>
    </w:p>
    <w:p>
      <w:pPr>
        <w:jc w:val="left"/>
      </w:pPr>
      <w:r>
        <w:rPr>
          <w:b/>
        </w:rPr>
        <w:t>Ergebnis:</w:t>
      </w:r>
      <w:r>
        <w:t xml:space="preserve"> Paragraf 133 Abs. 3 InsO Vermutung greift nicht ein.</w:t>
      </w:r>
    </w:p>
    <w:p>
      <w:pPr>
        <w:jc w:val="left"/>
      </w:pPr>
      <w:r>
        <w:t>Kenntnis des Bischof-Hellberg vom Benachteiligungsvorsatz nicht nachweisbar.</w:t>
      </w:r>
    </w:p>
    <w:p/>
    <w:p>
      <w:pPr>
        <w:pStyle w:val="Heading2"/>
      </w:pPr>
      <w:r>
        <w:rPr>
          <w:rFonts w:ascii="Times New Roman" w:hAnsi="Times New Roman"/>
        </w:rPr>
        <w:t>3. Gesamtergebnis InsO-Anfechtung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Zeitfrist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Tatbestand erfüllt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130 InsO kongruente 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(&gt; 3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Anfechtungsanspruch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131 InsO inkongruente 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(&gt; 3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Anfechtungsanspruch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133 InsO Vorsatzanfechtung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(&lt; 10 Jahre)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(Vorsatz nicht beweisbar)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Anfechtungsanspruch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134 InsO unentgeltliche 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(kein unentgeltlicher Vorgang)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Anfechtungsanspruch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Die Anfechtungsklagen der Insolvenzverwalterin Dr. Drosselberg</w:t>
      </w:r>
    </w:p>
    <w:p>
      <w:pPr>
        <w:jc w:val="left"/>
      </w:pPr>
      <w:r>
        <w:t>sind nach jetzigem Sachstand voraussichtlich unbegründet.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133 InsO: https://dejure.org/gesetze/InsO/133.html</w:t>
      </w:r>
    </w:p>
    <w:p>
      <w:pPr>
        <w:pStyle w:val="ListBullet"/>
      </w:pPr>
      <w:r>
        <w:t>BGH NJW 2015, 1677 (Benachteiligungsvorsatz): https://bundesgerichtshof.de</w:t>
      </w:r>
    </w:p>
    <w:p>
      <w:pPr>
        <w:pStyle w:val="ListBullet"/>
      </w:pPr>
      <w:r>
        <w:t>BGH NJW 2016, 681 (Zahlungsunfähigkeit als Indiz):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