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Eingriffskondiktion und Nutzungsherausgabe — Paragraf 812 Abs. 1 S. 1 2. Alt. BGB</w:t>
      </w:r>
    </w:p>
    <w:p>
      <w:pPr>
        <w:jc w:val="left"/>
      </w:pPr>
      <w:r>
        <w:rPr>
          <w:b/>
        </w:rPr>
        <w:t>Aktenzeichen:</w:t>
      </w:r>
      <w:r>
        <w:t xml:space="preserve"> LG Bonn 16 O 211/26 (Hilfsantrag)</w:t>
      </w:r>
    </w:p>
    <w:p>
      <w:pPr>
        <w:jc w:val="left"/>
      </w:pPr>
      <w:r>
        <w:rPr>
          <w:b/>
        </w:rPr>
        <w:t>Rechtsfrage:</w:t>
      </w:r>
      <w:r>
        <w:t xml:space="preserve"> Eingriffskondiktion bei Zwischennutzung des Fahrzeugs durch Trappenfels</w:t>
      </w:r>
    </w:p>
    <w:p/>
    <w:p>
      <w:pPr>
        <w:pStyle w:val="Heading2"/>
      </w:pPr>
      <w:r>
        <w:rPr>
          <w:rFonts w:ascii="Times New Roman" w:hAnsi="Times New Roman"/>
        </w:rPr>
        <w:t>1. Abgrenzung: Leistungs- vs. Eingriffskondiktion</w:t>
      </w:r>
    </w:p>
    <w:p>
      <w:pPr>
        <w:pStyle w:val="Heading3"/>
      </w:pPr>
      <w:r>
        <w:rPr>
          <w:rFonts w:ascii="Times New Roman" w:hAnsi="Times New Roman"/>
        </w:rPr>
        <w:t>1.1 Leistungskondiktion</w:t>
      </w:r>
    </w:p>
    <w:p>
      <w:pPr>
        <w:jc w:val="left"/>
      </w:pPr>
      <w:r>
        <w:t xml:space="preserve">Anspruchsgrundlage: </w:t>
      </w:r>
      <w:r>
        <w:rPr>
          <w:b/>
        </w:rPr>
        <w:t>Paragraf 812 Abs. 1 S. 1 1. Alt. BGB</w:t>
      </w:r>
    </w:p>
    <w:p>
      <w:pPr>
        <w:jc w:val="left"/>
      </w:pPr>
      <w:r>
        <w:t xml:space="preserve">Tatbestandsmerkmal: Erlangt durch </w:t>
      </w:r>
      <w:r>
        <w:rPr>
          <w:b/>
        </w:rPr>
        <w:t>Leistung</w:t>
      </w:r>
      <w:r>
        <w:t xml:space="preserve"> eines anderen</w:t>
      </w:r>
    </w:p>
    <w:p>
      <w:pPr>
        <w:jc w:val="left"/>
      </w:pPr>
      <w:r>
        <w:t>Prinzip: Rückabwicklung von Schuldverhältnissen</w:t>
      </w:r>
    </w:p>
    <w:p>
      <w:pPr>
        <w:pStyle w:val="Heading3"/>
      </w:pPr>
      <w:r>
        <w:rPr>
          <w:rFonts w:ascii="Times New Roman" w:hAnsi="Times New Roman"/>
        </w:rPr>
        <w:t>1.2 Eingriffskondiktion</w:t>
      </w:r>
    </w:p>
    <w:p>
      <w:pPr>
        <w:jc w:val="left"/>
      </w:pPr>
      <w:r>
        <w:t xml:space="preserve">Anspruchsgrundlage: </w:t>
      </w:r>
      <w:r>
        <w:rPr>
          <w:b/>
        </w:rPr>
        <w:t>Paragraf 812 Abs. 1 S. 1 2. Alt. BGB</w:t>
      </w:r>
    </w:p>
    <w:p>
      <w:pPr>
        <w:jc w:val="left"/>
      </w:pPr>
      <w:r>
        <w:t xml:space="preserve">Tatbestandsmerkmal: Erlangt </w:t>
      </w:r>
      <w:r>
        <w:rPr>
          <w:b/>
        </w:rPr>
        <w:t>in sonstiger Weise</w:t>
      </w:r>
      <w:r>
        <w:t xml:space="preserve"> (= nicht durch Leistung)</w:t>
      </w:r>
    </w:p>
    <w:p>
      <w:pPr>
        <w:jc w:val="left"/>
      </w:pPr>
      <w:r>
        <w:t>Prinzip: Ausgleich von Eingriffen in fremde Rechtspositionen (Zuweisungsgehalt)</w:t>
      </w:r>
    </w:p>
    <w:p/>
    <w:p>
      <w:pPr>
        <w:pStyle w:val="Heading2"/>
      </w:pPr>
      <w:r>
        <w:rPr>
          <w:rFonts w:ascii="Times New Roman" w:hAnsi="Times New Roman"/>
        </w:rPr>
        <w:t>2. Anwendungsfall: Nutzungen durch Trappenfels</w:t>
      </w:r>
    </w:p>
    <w:p>
      <w:pPr>
        <w:jc w:val="left"/>
      </w:pPr>
      <w:r>
        <w:t>Trappenfels hatte das Fahrzeug vom 28.03.2025 (Übereignung) bis</w:t>
      </w:r>
    </w:p>
    <w:p>
      <w:pPr>
        <w:jc w:val="left"/>
      </w:pPr>
      <w:r>
        <w:t>30.03.2025 (Brand) zwei Tage lang als Eigentümer besessen.</w:t>
      </w:r>
    </w:p>
    <w:p>
      <w:pPr>
        <w:jc w:val="left"/>
      </w:pPr>
      <w:r>
        <w:t>In dieser Zeit kann er das Fahrzeug benutzt oder zumindest bereitgestellt haben.</w:t>
      </w:r>
    </w:p>
    <w:p>
      <w:pPr>
        <w:jc w:val="left"/>
      </w:pPr>
      <w:r>
        <w:rPr>
          <w:b/>
        </w:rPr>
        <w:t>Frage:</w:t>
      </w:r>
      <w:r>
        <w:t xml:space="preserve"> Kann Bagheri-Aichholz gegen Trappenfels auf Herausgabe von Nutzungen</w:t>
      </w:r>
    </w:p>
    <w:p>
      <w:pPr>
        <w:jc w:val="left"/>
      </w:pPr>
      <w:r>
        <w:t>(Gebrauchsvorteile) aus dem Fahrzeug kondizieren?</w:t>
      </w:r>
    </w:p>
    <w:p>
      <w:pPr>
        <w:jc w:val="left"/>
      </w:pPr>
      <w:r>
        <w:rPr>
          <w:b/>
        </w:rPr>
        <w:t>Antwort:</w:t>
      </w:r>
      <w:r>
        <w:t xml:space="preserve"> Nein, aus mehreren Gründen:</w:t>
      </w:r>
    </w:p>
    <w:p>
      <w:pPr>
        <w:pStyle w:val="ListNumber"/>
      </w:pPr>
      <w:r>
        <w:t>Trappenfels war rechtmäßiger Eigentümer (wirksame Übereignung)</w:t>
      </w:r>
    </w:p>
    <w:p>
      <w:pPr>
        <w:pStyle w:val="ListNumber"/>
      </w:pPr>
      <w:r>
        <w:t>Kein Eingriff in eine Rechtsposition der Bagheri-Aichholz</w:t>
      </w:r>
    </w:p>
    <w:p>
      <w:pPr>
        <w:pStyle w:val="ListNumber"/>
      </w:pPr>
      <w:r>
        <w:t>Bagheri-Aichholz hatte keinen Anspruch auf Übereignung gegen Trappenfels</w:t>
      </w:r>
    </w:p>
    <w:p>
      <w:pPr>
        <w:pStyle w:val="ListNumber"/>
      </w:pPr>
      <w:r>
        <w:t>Durchgriffskondiktion im Dreieck (Bagheri-Aichholz → Trappenfels) scheitert</w:t>
      </w:r>
    </w:p>
    <w:p>
      <w:pPr>
        <w:jc w:val="left"/>
      </w:pPr>
      <w:r>
        <w:t>an den BGH-Grundsätzen zur Leistungskette</w:t>
      </w:r>
    </w:p>
    <w:p/>
    <w:p>
      <w:pPr>
        <w:pStyle w:val="Heading2"/>
      </w:pPr>
      <w:r>
        <w:rPr>
          <w:rFonts w:ascii="Times New Roman" w:hAnsi="Times New Roman"/>
        </w:rPr>
        <w:t>3. Nutzungsherausgabe nach Paragraf 818 Abs. 1 BGB</w:t>
      </w:r>
    </w:p>
    <w:p>
      <w:pPr>
        <w:jc w:val="left"/>
      </w:pPr>
      <w:r>
        <w:rPr>
          <w:b/>
        </w:rPr>
        <w:t>Gegenüber Bischof-Hellberg</w:t>
      </w:r>
      <w:r>
        <w:t xml:space="preserve"> (dem Leistungsempfänger) kann Bagheri-Aichholz</w:t>
      </w:r>
    </w:p>
    <w:p>
      <w:pPr>
        <w:jc w:val="left"/>
      </w:pPr>
      <w:r>
        <w:t>hingegen Herausgabe von Nutzungen aus dem erlangten Kaufpreis (600.000 EUR)</w:t>
      </w:r>
    </w:p>
    <w:p>
      <w:pPr>
        <w:jc w:val="left"/>
      </w:pPr>
      <w:r>
        <w:t>verlangen (Paragraf 818 Abs. 1 Alt. 2 BGB):</w:t>
      </w:r>
    </w:p>
    <w:p>
      <w:pPr>
        <w:jc w:val="left"/>
      </w:pPr>
      <w:r>
        <w:rPr>
          <w:b/>
        </w:rPr>
        <w:t>Berechnungsgrundlage:</w:t>
      </w:r>
    </w:p>
    <w:p>
      <w:pPr>
        <w:pStyle w:val="ListBullet"/>
      </w:pPr>
      <w:r>
        <w:t>Betrag: 600.000 EUR</w:t>
      </w:r>
    </w:p>
    <w:p>
      <w:pPr>
        <w:pStyle w:val="ListBullet"/>
      </w:pPr>
      <w:r>
        <w:t>Zeitraum: 05.03.2025 (Eingang) bis Rückzahlung</w:t>
      </w:r>
    </w:p>
    <w:p>
      <w:pPr>
        <w:pStyle w:val="ListBullet"/>
      </w:pPr>
      <w:r>
        <w:t>Zinssatz für Nutzungsersatz: BGH nimmt 4 % p.a. als Standardsatz an</w:t>
      </w:r>
    </w:p>
    <w:p>
      <w:pPr>
        <w:jc w:val="left"/>
      </w:pPr>
      <w:r>
        <w:t>(BGH NJW 2009, 2739)</w:t>
      </w:r>
    </w:p>
    <w:p>
      <w:pPr>
        <w:pStyle w:val="ListBullet"/>
      </w:pPr>
      <w:r>
        <w:t>Pro Tag: 600.000 EUR x 4 % / 365 = ca. 65.75 EUR</w:t>
      </w:r>
    </w:p>
    <w:p>
      <w:pPr>
        <w:pStyle w:val="ListBullet"/>
      </w:pPr>
      <w:r>
        <w:t>Pro Monat (30 Tage): ca. 1.972 EUR</w:t>
      </w:r>
    </w:p>
    <w:p>
      <w:pPr>
        <w:pStyle w:val="ListBullet"/>
      </w:pPr>
      <w:r>
        <w:t>Pro Jahr: 24.000 EUR</w:t>
      </w:r>
    </w:p>
    <w:p/>
    <w:p>
      <w:pPr>
        <w:pStyle w:val="Heading2"/>
      </w:pPr>
      <w:r>
        <w:rPr>
          <w:rFonts w:ascii="Times New Roman" w:hAnsi="Times New Roman"/>
        </w:rPr>
        <w:t>4. Sonderfall: Rückgriffskondiktion</w:t>
      </w:r>
    </w:p>
    <w:p>
      <w:pPr>
        <w:jc w:val="left"/>
      </w:pPr>
      <w:r>
        <w:rPr>
          <w:b/>
        </w:rPr>
        <w:t>Rückgriffskondiktion (Paragraf 812 Abs. 1 S. 1 2. Alt. BGB)</w:t>
      </w:r>
      <w:r>
        <w:t xml:space="preserve"> kommt in Betracht,</w:t>
      </w:r>
    </w:p>
    <w:p>
      <w:pPr>
        <w:jc w:val="left"/>
      </w:pPr>
      <w:r>
        <w:t>wenn jemand eine fremde Schuld tilgt und beim Schuldner Regress nehmen will.</w:t>
      </w:r>
    </w:p>
    <w:p>
      <w:pPr>
        <w:jc w:val="left"/>
      </w:pPr>
      <w:r>
        <w:rPr>
          <w:b/>
        </w:rPr>
        <w:t>Relevanz im vorliegenden Fall:</w:t>
      </w:r>
    </w:p>
    <w:p>
      <w:pPr>
        <w:jc w:val="left"/>
      </w:pPr>
      <w:r>
        <w:t>Wenn die Volksbank Bonn die 78.000 EUR an Schmiedeknecht-KG ausgezahlt hat</w:t>
      </w:r>
    </w:p>
    <w:p>
      <w:pPr>
        <w:jc w:val="left"/>
      </w:pPr>
      <w:r>
        <w:t>und nun von Bischof-Hellberg keinen Ersatz bekommt, könnte sie theoretisch</w:t>
      </w:r>
    </w:p>
    <w:p>
      <w:pPr>
        <w:jc w:val="left"/>
      </w:pPr>
      <w:r>
        <w:t>bei der Schmiedeknecht-KG Regress nehmen — allerdings nur, wenn die Zahlung</w:t>
      </w:r>
    </w:p>
    <w:p>
      <w:pPr>
        <w:jc w:val="left"/>
      </w:pPr>
      <w:r>
        <w:t>ohne Rechtsgrund an Schmiedeknecht-KG erfolgte.</w:t>
      </w:r>
    </w:p>
    <w:p/>
    <w:p>
      <w:pPr>
        <w:pStyle w:val="Heading2"/>
      </w:pPr>
      <w:r>
        <w:rPr>
          <w:rFonts w:ascii="Times New Roman" w:hAnsi="Times New Roman"/>
        </w:rPr>
        <w:t>5. Verwendungskondiktion</w:t>
      </w:r>
    </w:p>
    <w:p>
      <w:pPr>
        <w:jc w:val="left"/>
      </w:pPr>
      <w:r>
        <w:rPr>
          <w:b/>
        </w:rPr>
        <w:t>Verwendungskondiktion</w:t>
      </w:r>
      <w:r>
        <w:t xml:space="preserve"> ist der bereicherungsrechtliche Anspruch für den Fall,</w:t>
      </w:r>
    </w:p>
    <w:p>
      <w:pPr>
        <w:jc w:val="left"/>
      </w:pPr>
      <w:r>
        <w:t>dass jemand Verwendungen auf eine fremde Sache gemacht hat.</w:t>
      </w:r>
    </w:p>
    <w:p>
      <w:pPr>
        <w:jc w:val="left"/>
      </w:pPr>
      <w:r>
        <w:rPr>
          <w:b/>
        </w:rPr>
        <w:t>Relevanz:</w:t>
      </w:r>
      <w:r>
        <w:t xml:space="preserve"> Sofern die Schmiedeknecht-Restaurations-KG tatsächlich Arbeiten</w:t>
      </w:r>
    </w:p>
    <w:p>
      <w:pPr>
        <w:jc w:val="left"/>
      </w:pPr>
      <w:r>
        <w:t>an dem 300 SL durchgeführt hat (Restaurierungsarbeiten im Wert von 78.000 EUR),</w:t>
      </w:r>
    </w:p>
    <w:p>
      <w:pPr>
        <w:jc w:val="left"/>
      </w:pPr>
      <w:r>
        <w:t>könnte sie insoweit einen Verwendungsersatzanspruch gegen den Fahrzeugeigentümer haben.</w:t>
      </w:r>
    </w:p>
    <w:p>
      <w:pPr>
        <w:jc w:val="left"/>
      </w:pPr>
      <w:r>
        <w:t>Da das Fahrzeug untergegangen ist, stellt sich die Frage, ob und in welchem Umfang</w:t>
      </w:r>
    </w:p>
    <w:p>
      <w:pPr>
        <w:jc w:val="left"/>
      </w:pPr>
      <w:r>
        <w:t>die Verwendungen den Wert des Fahrzeugs erhöht hatten (Paragraf 818 Abs. 2 BGB).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812 BGB: https://dejure.org/gesetze/BGB/812.html</w:t>
      </w:r>
    </w:p>
    <w:p>
      <w:pPr>
        <w:pStyle w:val="ListBullet"/>
      </w:pPr>
      <w:r>
        <w:t>BGH NJW 2009, 2739 (Nutzungsherausgabe 4%): https://bundesgerichtshof.de</w:t>
      </w:r>
    </w:p>
    <w:p>
      <w:pPr>
        <w:pStyle w:val="ListBullet"/>
      </w:pPr>
      <w:r>
        <w:t>BGH NJW 2001, 1937 (Rückgriffskondiktion im Dreieck): https://openjur.de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